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87E027">
      <w:pPr>
        <w:jc w:val="center"/>
        <w:rPr>
          <w:rFonts w:hint="eastAsia" w:ascii="Times New Roman" w:hAnsi="Times New Roman" w:eastAsia="宋体"/>
          <w:b/>
          <w:bCs/>
          <w:sz w:val="15"/>
          <w:szCs w:val="15"/>
          <w:lang w:eastAsia="zh-CN"/>
        </w:rPr>
      </w:pPr>
    </w:p>
    <w:p w14:paraId="2C7B0BDA">
      <w:pPr>
        <w:jc w:val="center"/>
        <w:rPr>
          <w:rFonts w:hint="eastAsia" w:ascii="Times New Roman" w:hAnsi="Times New Roman" w:eastAsia="宋体"/>
          <w:b/>
          <w:bCs/>
          <w:sz w:val="15"/>
          <w:szCs w:val="15"/>
          <w:lang w:eastAsia="zh-CN"/>
        </w:rPr>
      </w:pPr>
    </w:p>
    <w:p w14:paraId="64FAFB28">
      <w:pPr>
        <w:jc w:val="center"/>
        <w:rPr>
          <w:rFonts w:hint="eastAsia" w:ascii="Times New Roman" w:hAnsi="Times New Roman" w:eastAsia="宋体"/>
          <w:b/>
          <w:bCs/>
          <w:sz w:val="32"/>
          <w:szCs w:val="32"/>
          <w:lang w:eastAsia="zh-CN"/>
        </w:rPr>
      </w:pPr>
      <w:r>
        <w:rPr>
          <w:rFonts w:hint="eastAsia" w:ascii="Times New Roman" w:hAnsi="Times New Roman" w:eastAsia="宋体"/>
          <w:b/>
          <w:bCs/>
          <w:sz w:val="32"/>
          <w:szCs w:val="32"/>
          <w:lang w:eastAsia="zh-CN"/>
        </w:rPr>
        <w:drawing>
          <wp:inline distT="0" distB="0" distL="114300" distR="114300">
            <wp:extent cx="3429000" cy="703580"/>
            <wp:effectExtent l="0" t="0" r="0" b="0"/>
            <wp:docPr id="14" name="图片 14" descr="十四五国规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十四五国规标"/>
                    <pic:cNvPicPr>
                      <a:picLocks noChangeAspect="1"/>
                    </pic:cNvPicPr>
                  </pic:nvPicPr>
                  <pic:blipFill>
                    <a:blip r:embed="rId10"/>
                    <a:srcRect l="25233" t="46404" r="27815" b="46785"/>
                    <a:stretch>
                      <a:fillRect/>
                    </a:stretch>
                  </pic:blipFill>
                  <pic:spPr>
                    <a:xfrm>
                      <a:off x="0" y="0"/>
                      <a:ext cx="3429000" cy="703580"/>
                    </a:xfrm>
                    <a:prstGeom prst="rect">
                      <a:avLst/>
                    </a:prstGeom>
                  </pic:spPr>
                </pic:pic>
              </a:graphicData>
            </a:graphic>
          </wp:inline>
        </w:drawing>
      </w:r>
    </w:p>
    <w:p w14:paraId="77FC536B">
      <w:pPr>
        <w:jc w:val="center"/>
        <w:rPr>
          <w:rFonts w:hint="eastAsia" w:ascii="Times New Roman" w:hAnsi="Times New Roman" w:eastAsia="宋体"/>
          <w:b/>
          <w:bCs/>
          <w:sz w:val="32"/>
          <w:szCs w:val="32"/>
          <w:lang w:eastAsia="zh-CN"/>
        </w:rPr>
      </w:pPr>
      <w:r>
        <w:rPr>
          <w:rFonts w:hint="eastAsia" w:ascii="微软雅黑" w:hAnsi="微软雅黑" w:eastAsia="微软雅黑" w:cs="微软雅黑"/>
          <w:b/>
          <w:bCs/>
          <w:i w:val="0"/>
          <w:iCs w:val="0"/>
          <w:caps w:val="0"/>
          <w:color w:val="385724" w:themeColor="accent6" w:themeShade="80"/>
          <w:spacing w:val="0"/>
          <w:sz w:val="28"/>
          <w:szCs w:val="28"/>
          <w:shd w:val="clear" w:fill="FFFFFF"/>
          <w:lang w:val="en-US" w:eastAsia="zh-CN"/>
        </w:rPr>
        <w:t xml:space="preserve">        </w:t>
      </w:r>
      <w:r>
        <w:rPr>
          <w:rFonts w:hint="eastAsia" w:ascii="宋体" w:hAnsi="宋体" w:eastAsia="宋体" w:cs="宋体"/>
          <w:b/>
          <w:bCs/>
          <w:i w:val="0"/>
          <w:iCs w:val="0"/>
          <w:caps w:val="0"/>
          <w:color w:val="385724" w:themeColor="accent6" w:themeShade="80"/>
          <w:spacing w:val="0"/>
          <w:sz w:val="28"/>
          <w:szCs w:val="28"/>
          <w:shd w:val="clear" w:fill="FFFFFF"/>
        </w:rPr>
        <w:t>“</w:t>
      </w:r>
      <w:r>
        <w:rPr>
          <w:rFonts w:ascii="微软雅黑" w:hAnsi="微软雅黑" w:eastAsia="微软雅黑" w:cs="微软雅黑"/>
          <w:b/>
          <w:bCs/>
          <w:i w:val="0"/>
          <w:iCs w:val="0"/>
          <w:caps w:val="0"/>
          <w:color w:val="385724" w:themeColor="accent6" w:themeShade="80"/>
          <w:spacing w:val="0"/>
          <w:sz w:val="28"/>
          <w:szCs w:val="28"/>
          <w:shd w:val="clear" w:fill="FFFFFF"/>
        </w:rPr>
        <w:t>十四五</w:t>
      </w:r>
      <w:r>
        <w:rPr>
          <w:rFonts w:hint="eastAsia" w:ascii="宋体" w:hAnsi="宋体" w:eastAsia="宋体" w:cs="宋体"/>
          <w:b/>
          <w:bCs/>
          <w:i w:val="0"/>
          <w:iCs w:val="0"/>
          <w:caps w:val="0"/>
          <w:color w:val="385724" w:themeColor="accent6" w:themeShade="80"/>
          <w:spacing w:val="0"/>
          <w:sz w:val="28"/>
          <w:szCs w:val="28"/>
          <w:shd w:val="clear" w:fill="FFFFFF"/>
        </w:rPr>
        <w:t>”</w:t>
      </w:r>
      <w:r>
        <w:rPr>
          <w:rFonts w:ascii="微软雅黑" w:hAnsi="微软雅黑" w:eastAsia="微软雅黑" w:cs="微软雅黑"/>
          <w:b/>
          <w:bCs/>
          <w:i w:val="0"/>
          <w:iCs w:val="0"/>
          <w:caps w:val="0"/>
          <w:color w:val="385724" w:themeColor="accent6" w:themeShade="80"/>
          <w:spacing w:val="0"/>
          <w:sz w:val="28"/>
          <w:szCs w:val="28"/>
          <w:shd w:val="clear" w:fill="FFFFFF"/>
        </w:rPr>
        <w:t>职业教育辽宁省规划教材</w:t>
      </w:r>
    </w:p>
    <w:p w14:paraId="0976E3A6">
      <w:pPr>
        <w:rPr>
          <w:rFonts w:hint="eastAsia" w:ascii="Times New Roman" w:hAnsi="Times New Roman"/>
          <w:b/>
          <w:bCs/>
          <w:sz w:val="32"/>
          <w:szCs w:val="32"/>
        </w:rPr>
      </w:pPr>
    </w:p>
    <w:p w14:paraId="7882DB9B">
      <w:pPr>
        <w:rPr>
          <w:rFonts w:hint="eastAsia" w:ascii="Times New Roman" w:hAnsi="Times New Roman"/>
          <w:b/>
          <w:bCs/>
          <w:sz w:val="32"/>
          <w:szCs w:val="32"/>
        </w:rPr>
      </w:pPr>
    </w:p>
    <w:p w14:paraId="63C493F5">
      <w:pPr>
        <w:rPr>
          <w:rFonts w:hint="eastAsia" w:ascii="Times New Roman" w:hAnsi="Times New Roman"/>
          <w:b/>
          <w:bCs/>
          <w:sz w:val="32"/>
          <w:szCs w:val="32"/>
        </w:rPr>
      </w:pPr>
    </w:p>
    <w:p w14:paraId="1F27D83F">
      <w:pPr>
        <w:rPr>
          <w:rFonts w:hint="eastAsia" w:ascii="Times New Roman" w:hAnsi="Times New Roman"/>
          <w:b/>
          <w:bCs/>
          <w:sz w:val="32"/>
          <w:szCs w:val="32"/>
        </w:rPr>
      </w:pPr>
    </w:p>
    <w:p w14:paraId="4C1E8025">
      <w:pPr>
        <w:rPr>
          <w:rFonts w:hint="eastAsia" w:ascii="Times New Roman" w:hAnsi="Times New Roman"/>
          <w:b/>
          <w:bCs/>
          <w:sz w:val="32"/>
          <w:szCs w:val="32"/>
        </w:rPr>
      </w:pPr>
    </w:p>
    <w:p w14:paraId="5C7D8771">
      <w:pPr>
        <w:jc w:val="center"/>
        <w:rPr>
          <w:rFonts w:hint="eastAsia" w:ascii="Times New Roman" w:hAnsi="Times New Roman"/>
          <w:b/>
          <w:bCs/>
          <w:sz w:val="32"/>
          <w:szCs w:val="32"/>
        </w:rPr>
      </w:pPr>
      <w:r>
        <w:rPr>
          <w:rFonts w:hint="eastAsia" w:ascii="Times New Roman" w:hAnsi="Times New Roman"/>
          <w:b/>
          <w:bCs/>
          <w:sz w:val="84"/>
          <w:szCs w:val="84"/>
        </w:rPr>
        <w:t>《学前教育学》</w:t>
      </w:r>
    </w:p>
    <w:p w14:paraId="4ACB9433">
      <w:pPr>
        <w:jc w:val="center"/>
        <w:rPr>
          <w:rFonts w:hint="eastAsia" w:ascii="Times New Roman" w:hAnsi="Times New Roman"/>
          <w:b/>
          <w:bCs/>
          <w:sz w:val="84"/>
          <w:szCs w:val="84"/>
        </w:rPr>
      </w:pPr>
      <w:r>
        <w:rPr>
          <w:rFonts w:hint="eastAsia" w:ascii="Times New Roman" w:hAnsi="Times New Roman"/>
          <w:b/>
          <w:bCs/>
          <w:sz w:val="52"/>
          <w:szCs w:val="52"/>
        </w:rPr>
        <w:t>（第二版）</w:t>
      </w:r>
    </w:p>
    <w:p w14:paraId="0024D093">
      <w:pPr>
        <w:jc w:val="center"/>
        <w:rPr>
          <w:rFonts w:hint="eastAsia" w:ascii="Times New Roman" w:hAnsi="Times New Roman"/>
          <w:b/>
          <w:bCs/>
          <w:sz w:val="72"/>
          <w:szCs w:val="72"/>
        </w:rPr>
      </w:pPr>
    </w:p>
    <w:p w14:paraId="1E5E2D35">
      <w:pPr>
        <w:jc w:val="center"/>
        <w:rPr>
          <w:rFonts w:hint="eastAsia" w:ascii="Times New Roman" w:hAnsi="Times New Roman"/>
          <w:b/>
          <w:bCs/>
          <w:sz w:val="72"/>
          <w:szCs w:val="72"/>
        </w:rPr>
      </w:pPr>
      <w:r>
        <w:rPr>
          <w:rFonts w:hint="eastAsia" w:ascii="Times New Roman" w:hAnsi="Times New Roman"/>
          <w:b/>
          <w:bCs/>
          <w:sz w:val="72"/>
          <w:szCs w:val="72"/>
        </w:rPr>
        <w:t>教案</w:t>
      </w:r>
    </w:p>
    <w:p w14:paraId="032B382C">
      <w:pPr>
        <w:jc w:val="center"/>
        <w:rPr>
          <w:rFonts w:hint="eastAsia" w:ascii="Times New Roman" w:hAnsi="Times New Roman"/>
          <w:b/>
          <w:bCs/>
          <w:sz w:val="28"/>
          <w:szCs w:val="28"/>
        </w:rPr>
      </w:pPr>
    </w:p>
    <w:p w14:paraId="6B6BC5C0">
      <w:pPr>
        <w:jc w:val="both"/>
        <w:rPr>
          <w:rFonts w:hint="eastAsia" w:ascii="Times New Roman" w:hAnsi="Times New Roman"/>
          <w:b/>
          <w:bCs/>
          <w:sz w:val="28"/>
          <w:szCs w:val="28"/>
        </w:rPr>
      </w:pPr>
    </w:p>
    <w:p w14:paraId="104E55A0">
      <w:pPr>
        <w:jc w:val="both"/>
        <w:rPr>
          <w:rFonts w:hint="eastAsia" w:ascii="Times New Roman" w:hAnsi="Times New Roman"/>
          <w:b/>
          <w:bCs/>
          <w:sz w:val="28"/>
          <w:szCs w:val="28"/>
        </w:rPr>
      </w:pPr>
    </w:p>
    <w:p w14:paraId="075A8FF0">
      <w:pPr>
        <w:jc w:val="center"/>
        <w:rPr>
          <w:rFonts w:hint="eastAsia" w:ascii="Times New Roman" w:hAnsi="Times New Roman"/>
          <w:b/>
          <w:bCs/>
          <w:sz w:val="28"/>
          <w:szCs w:val="28"/>
        </w:rPr>
      </w:pPr>
    </w:p>
    <w:p w14:paraId="10A16A94">
      <w:pPr>
        <w:jc w:val="center"/>
        <w:rPr>
          <w:rFonts w:hint="eastAsia" w:ascii="Times New Roman" w:hAnsi="Times New Roman"/>
          <w:b/>
          <w:bCs/>
          <w:sz w:val="28"/>
          <w:szCs w:val="28"/>
        </w:rPr>
      </w:pPr>
    </w:p>
    <w:p w14:paraId="375DB611">
      <w:pPr>
        <w:jc w:val="center"/>
        <w:rPr>
          <w:rFonts w:hint="eastAsia" w:ascii="Times New Roman" w:hAnsi="Times New Roman"/>
          <w:b/>
          <w:bCs/>
          <w:sz w:val="28"/>
          <w:szCs w:val="28"/>
        </w:rPr>
      </w:pPr>
    </w:p>
    <w:p w14:paraId="2A619DC7">
      <w:pPr>
        <w:jc w:val="both"/>
        <w:rPr>
          <w:rFonts w:hint="eastAsia" w:ascii="Times New Roman" w:hAnsi="Times New Roman"/>
          <w:b/>
          <w:bCs/>
          <w:sz w:val="28"/>
          <w:szCs w:val="28"/>
        </w:rPr>
      </w:pPr>
    </w:p>
    <w:p w14:paraId="1DC9E0E0">
      <w:pPr>
        <w:jc w:val="both"/>
        <w:rPr>
          <w:rFonts w:hint="eastAsia" w:ascii="Times New Roman" w:hAnsi="Times New Roman"/>
          <w:b/>
          <w:bCs/>
          <w:sz w:val="28"/>
          <w:szCs w:val="28"/>
        </w:rPr>
      </w:pPr>
    </w:p>
    <w:p w14:paraId="3FDE9012">
      <w:pPr>
        <w:jc w:val="center"/>
        <w:rPr>
          <w:rFonts w:hint="eastAsia" w:ascii="Times New Roman" w:hAnsi="Times New Roman"/>
          <w:b/>
          <w:bCs/>
          <w:sz w:val="28"/>
          <w:szCs w:val="28"/>
        </w:rPr>
      </w:pPr>
      <w:r>
        <w:rPr>
          <w:sz w:val="28"/>
        </w:rPr>
        <mc:AlternateContent>
          <mc:Choice Requires="wps">
            <w:drawing>
              <wp:anchor distT="0" distB="0" distL="114300" distR="114300" simplePos="0" relativeHeight="251659264" behindDoc="1" locked="0" layoutInCell="1" allowOverlap="1">
                <wp:simplePos x="0" y="0"/>
                <wp:positionH relativeFrom="column">
                  <wp:posOffset>-95885</wp:posOffset>
                </wp:positionH>
                <wp:positionV relativeFrom="paragraph">
                  <wp:posOffset>294005</wp:posOffset>
                </wp:positionV>
                <wp:extent cx="7545070" cy="539750"/>
                <wp:effectExtent l="0" t="0" r="17780" b="12700"/>
                <wp:wrapNone/>
                <wp:docPr id="7" name="矩形 7"/>
                <wp:cNvGraphicFramePr/>
                <a:graphic xmlns:a="http://schemas.openxmlformats.org/drawingml/2006/main">
                  <a:graphicData uri="http://schemas.microsoft.com/office/word/2010/wordprocessingShape">
                    <wps:wsp>
                      <wps:cNvSpPr/>
                      <wps:spPr>
                        <a:xfrm>
                          <a:off x="3915410" y="9996170"/>
                          <a:ext cx="7545070" cy="539750"/>
                        </a:xfrm>
                        <a:prstGeom prst="rect">
                          <a:avLst/>
                        </a:prstGeom>
                        <a:gradFill>
                          <a:gsLst>
                            <a:gs pos="0">
                              <a:schemeClr val="accent1">
                                <a:lumMod val="0"/>
                                <a:lumOff val="100000"/>
                                <a:alpha val="100000"/>
                              </a:schemeClr>
                            </a:gs>
                            <a:gs pos="47000">
                              <a:schemeClr val="bg1">
                                <a:alpha val="0"/>
                              </a:schemeClr>
                            </a:gs>
                          </a:gsLst>
                          <a:path path="circle">
                            <a:fillToRect l="50000" t="50000" r="50000" b="50000"/>
                          </a:path>
                          <a:tileRect/>
                        </a:grad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1FD1A29E">
                            <w:pPr>
                              <w:rPr>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55pt;margin-top:23.15pt;height:42.5pt;width:594.1pt;z-index:-251657216;v-text-anchor:middle;mso-width-relative:page;mso-height-relative:page;" fillcolor="#FFFFFF [20]" filled="t" stroked="f" coordsize="21600,21600" o:gfxdata="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AK99SO2gAAAAsBAAAPAAAAAAAAAAEAIAAAACIA&#10;AABkcnMvZG93bnJldi54bWxQSwECFAAUAAAACACHTuJAMAQiLesCAAAHBgAADgAAAAAAAAABACAA&#10;AAApAQAAZHJzL2Uyb0RvYy54bWxQSwUGAAAAAAYABgBZAQAAhgYAAAAA&#10;">
                <v:fill type="gradientRadial" on="t" color2="#FFFFFF [3212]" o:opacity2="0f" focus="100%" focussize="0f,0f" focusposition="32768f,32768f" rotate="t">
                  <o:fill type="gradientRadial" v:ext="backwardCompatible"/>
                </v:fill>
                <v:stroke on="f" weight="1pt" miterlimit="8" joinstyle="miter"/>
                <v:imagedata o:title=""/>
                <o:lock v:ext="edit" aspectratio="f"/>
                <v:textbox>
                  <w:txbxContent>
                    <w:p w14:paraId="1FD1A29E">
                      <w:pPr>
                        <w:rPr>
                          <w14:textFill>
                            <w14:noFill/>
                          </w14:textFill>
                        </w:rPr>
                      </w:pPr>
                    </w:p>
                  </w:txbxContent>
                </v:textbox>
              </v:rect>
            </w:pict>
          </mc:Fallback>
        </mc:AlternateContent>
      </w:r>
    </w:p>
    <w:p w14:paraId="48A38E4A">
      <w:pPr>
        <w:jc w:val="center"/>
        <w:rPr>
          <w:rFonts w:hint="default" w:ascii="Times New Roman" w:hAnsi="Times New Roman" w:eastAsia="宋体"/>
          <w:b/>
          <w:bCs/>
          <w:sz w:val="36"/>
          <w:szCs w:val="36"/>
          <w:lang w:val="en-US" w:eastAsia="zh-CN"/>
        </w:rPr>
      </w:pPr>
      <w:r>
        <w:rPr>
          <w:rFonts w:hint="eastAsia" w:ascii="华文行楷" w:hAnsi="华文行楷" w:eastAsia="华文行楷" w:cs="华文行楷"/>
          <w:b w:val="0"/>
          <w:bCs w:val="0"/>
          <w:color w:val="auto"/>
          <w:sz w:val="36"/>
          <w:szCs w:val="36"/>
          <w:shd w:val="clear" w:fill="FFFFFF" w:themeFill="background1"/>
          <w:lang w:val="en-US" w:eastAsia="zh-CN"/>
        </w:rPr>
        <w:t>北京出版社</w:t>
      </w:r>
    </w:p>
    <w:p w14:paraId="53E3D12D">
      <w:pPr>
        <w:jc w:val="center"/>
        <w:rPr>
          <w:rFonts w:hint="default" w:ascii="Times New Roman" w:hAnsi="Times New Roman" w:eastAsia="宋体"/>
          <w:b/>
          <w:bCs/>
          <w:sz w:val="28"/>
          <w:szCs w:val="28"/>
          <w:lang w:val="en-US" w:eastAsia="zh-CN"/>
        </w:rPr>
        <w:sectPr>
          <w:headerReference r:id="rId4" w:type="first"/>
          <w:headerReference r:id="rId3" w:type="default"/>
          <w:pgSz w:w="11906" w:h="16838"/>
          <w:pgMar w:top="283" w:right="170" w:bottom="283" w:left="170" w:header="0" w:footer="0" w:gutter="0"/>
          <w:pgBorders>
            <w:top w:val="none" w:sz="0" w:space="0"/>
            <w:left w:val="none" w:sz="0" w:space="0"/>
            <w:bottom w:val="none" w:sz="0" w:space="0"/>
            <w:right w:val="none" w:sz="0" w:space="0"/>
          </w:pgBorders>
          <w:cols w:space="425" w:num="1"/>
          <w:titlePg/>
          <w:docGrid w:type="lines" w:linePitch="312" w:charSpace="0"/>
        </w:sectPr>
      </w:pPr>
    </w:p>
    <w:p w14:paraId="1314EFFE">
      <w:pPr>
        <w:pStyle w:val="2"/>
        <w:bidi w:val="0"/>
        <w:jc w:val="center"/>
        <w:rPr>
          <w:rFonts w:hint="eastAsia" w:ascii="黑体" w:hAnsi="黑体" w:eastAsia="黑体" w:cs="黑体"/>
          <w:b/>
          <w:bCs/>
          <w:color w:val="000000" w:themeColor="text1"/>
          <w:sz w:val="44"/>
          <w:szCs w:val="44"/>
          <w:lang w:eastAsia="zh-CN"/>
          <w14:textFill>
            <w14:solidFill>
              <w14:schemeClr w14:val="tx1"/>
            </w14:solidFill>
          </w14:textFill>
        </w:rPr>
      </w:pPr>
      <w:r>
        <w:rPr>
          <w:rFonts w:hint="eastAsia" w:ascii="黑体" w:hAnsi="黑体" w:eastAsia="黑体" w:cs="黑体"/>
          <w:b/>
          <w:bCs/>
          <w:color w:val="000000" w:themeColor="text1"/>
          <w:sz w:val="44"/>
          <w:szCs w:val="44"/>
          <w:lang w:eastAsia="zh-CN"/>
          <w14:textFill>
            <w14:solidFill>
              <w14:schemeClr w14:val="tx1"/>
            </w14:solidFill>
          </w14:textFill>
        </w:rPr>
        <w:t>课时分配表</w:t>
      </w:r>
    </w:p>
    <w:tbl>
      <w:tblPr>
        <w:tblStyle w:val="10"/>
        <w:tblW w:w="10772" w:type="dxa"/>
        <w:jc w:val="cente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Layout w:type="autofit"/>
        <w:tblCellMar>
          <w:top w:w="0" w:type="dxa"/>
          <w:left w:w="108" w:type="dxa"/>
          <w:bottom w:w="0" w:type="dxa"/>
          <w:right w:w="108" w:type="dxa"/>
        </w:tblCellMar>
      </w:tblPr>
      <w:tblGrid>
        <w:gridCol w:w="1242"/>
        <w:gridCol w:w="5562"/>
        <w:gridCol w:w="1832"/>
        <w:gridCol w:w="2136"/>
      </w:tblGrid>
      <w:tr w14:paraId="0A9E8A84">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BE8F00" w:themeFill="accent4" w:themeFillShade="BF"/>
            <w:vAlign w:val="center"/>
          </w:tcPr>
          <w:p w14:paraId="62F77C5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章序</w:t>
            </w:r>
          </w:p>
        </w:tc>
        <w:tc>
          <w:tcPr>
            <w:tcW w:w="4166" w:type="dxa"/>
            <w:tcBorders>
              <w:tl2br w:val="nil"/>
              <w:tr2bl w:val="nil"/>
            </w:tcBorders>
            <w:shd w:val="clear" w:color="auto" w:fill="BE8F00" w:themeFill="accent4" w:themeFillShade="BF"/>
            <w:vAlign w:val="center"/>
          </w:tcPr>
          <w:p w14:paraId="6A5284C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课程内容</w:t>
            </w:r>
          </w:p>
        </w:tc>
        <w:tc>
          <w:tcPr>
            <w:tcW w:w="1372" w:type="dxa"/>
            <w:tcBorders>
              <w:tl2br w:val="nil"/>
              <w:tr2bl w:val="nil"/>
            </w:tcBorders>
            <w:shd w:val="clear" w:color="auto" w:fill="BE8F00" w:themeFill="accent4" w:themeFillShade="BF"/>
            <w:vAlign w:val="center"/>
          </w:tcPr>
          <w:p w14:paraId="45DB049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课时</w:t>
            </w:r>
          </w:p>
        </w:tc>
        <w:tc>
          <w:tcPr>
            <w:tcW w:w="1600" w:type="dxa"/>
            <w:tcBorders>
              <w:tl2br w:val="nil"/>
              <w:tr2bl w:val="nil"/>
            </w:tcBorders>
            <w:shd w:val="clear" w:color="auto" w:fill="BE8F00" w:themeFill="accent4" w:themeFillShade="BF"/>
            <w:vAlign w:val="center"/>
          </w:tcPr>
          <w:p w14:paraId="1CA2D9E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备注</w:t>
            </w:r>
          </w:p>
        </w:tc>
      </w:tr>
      <w:tr w14:paraId="1D077350">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0577E87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w:t>
            </w:r>
          </w:p>
        </w:tc>
        <w:tc>
          <w:tcPr>
            <w:tcW w:w="4166" w:type="dxa"/>
            <w:tcBorders>
              <w:tl2br w:val="nil"/>
              <w:tr2bl w:val="nil"/>
            </w:tcBorders>
            <w:shd w:val="clear" w:color="auto" w:fill="FFFFFF"/>
            <w:vAlign w:val="center"/>
          </w:tcPr>
          <w:p w14:paraId="01186CA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cs="宋体"/>
                <w:b/>
                <w:bCs/>
                <w:color w:val="000000" w:themeColor="text1"/>
                <w:sz w:val="24"/>
                <w:szCs w:val="24"/>
                <w:vertAlign w:val="baseline"/>
                <w:lang w:eastAsia="zh-CN"/>
                <w14:textFill>
                  <w14:solidFill>
                    <w14:schemeClr w14:val="tx1"/>
                  </w14:solidFill>
                </w14:textFill>
              </w:rPr>
              <w:t>绪论</w:t>
            </w:r>
          </w:p>
        </w:tc>
        <w:tc>
          <w:tcPr>
            <w:tcW w:w="1372" w:type="dxa"/>
            <w:tcBorders>
              <w:tl2br w:val="nil"/>
              <w:tr2bl w:val="nil"/>
            </w:tcBorders>
            <w:shd w:val="clear" w:color="auto" w:fill="FFFFFF"/>
            <w:vAlign w:val="center"/>
          </w:tcPr>
          <w:p w14:paraId="3727EC1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57B1590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62604309">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39E1439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2</w:t>
            </w:r>
          </w:p>
        </w:tc>
        <w:tc>
          <w:tcPr>
            <w:tcW w:w="4166" w:type="dxa"/>
            <w:tcBorders>
              <w:tl2br w:val="nil"/>
              <w:tr2bl w:val="nil"/>
            </w:tcBorders>
            <w:shd w:val="clear" w:color="auto" w:fill="FFFFFF"/>
            <w:vAlign w:val="center"/>
          </w:tcPr>
          <w:p w14:paraId="59AF51D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学前教育概述</w:t>
            </w:r>
          </w:p>
        </w:tc>
        <w:tc>
          <w:tcPr>
            <w:tcW w:w="1372" w:type="dxa"/>
            <w:tcBorders>
              <w:tl2br w:val="nil"/>
              <w:tr2bl w:val="nil"/>
            </w:tcBorders>
            <w:shd w:val="clear" w:color="auto" w:fill="FFFFFF"/>
            <w:vAlign w:val="center"/>
          </w:tcPr>
          <w:p w14:paraId="750614E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1539602C">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9E85EA8">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236F83E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4166" w:type="dxa"/>
            <w:tcBorders>
              <w:tl2br w:val="nil"/>
              <w:tr2bl w:val="nil"/>
            </w:tcBorders>
            <w:shd w:val="clear" w:color="auto" w:fill="FFFFFF"/>
            <w:vAlign w:val="center"/>
          </w:tcPr>
          <w:p w14:paraId="2F7F3A9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我国学前教育的目标、任务和原则</w:t>
            </w:r>
          </w:p>
        </w:tc>
        <w:tc>
          <w:tcPr>
            <w:tcW w:w="1372" w:type="dxa"/>
            <w:tcBorders>
              <w:tl2br w:val="nil"/>
              <w:tr2bl w:val="nil"/>
            </w:tcBorders>
            <w:shd w:val="clear" w:color="auto" w:fill="FFFFFF"/>
            <w:vAlign w:val="center"/>
          </w:tcPr>
          <w:p w14:paraId="3FB7070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28C9C3A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5DD3E3B7">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2890CA4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4166" w:type="dxa"/>
            <w:tcBorders>
              <w:tl2br w:val="nil"/>
              <w:tr2bl w:val="nil"/>
            </w:tcBorders>
            <w:shd w:val="clear" w:color="auto" w:fill="FFFFFF"/>
            <w:vAlign w:val="center"/>
          </w:tcPr>
          <w:p w14:paraId="3B70090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幼儿园全面发展教育</w:t>
            </w:r>
          </w:p>
        </w:tc>
        <w:tc>
          <w:tcPr>
            <w:tcW w:w="1372" w:type="dxa"/>
            <w:tcBorders>
              <w:tl2br w:val="nil"/>
              <w:tr2bl w:val="nil"/>
            </w:tcBorders>
            <w:shd w:val="clear" w:color="auto" w:fill="FFFFFF"/>
            <w:vAlign w:val="center"/>
          </w:tcPr>
          <w:p w14:paraId="286EED5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10</w:t>
            </w:r>
          </w:p>
        </w:tc>
        <w:tc>
          <w:tcPr>
            <w:tcW w:w="1600" w:type="dxa"/>
            <w:tcBorders>
              <w:tl2br w:val="nil"/>
              <w:tr2bl w:val="nil"/>
            </w:tcBorders>
            <w:shd w:val="clear" w:color="auto" w:fill="FFFFFF"/>
            <w:vAlign w:val="center"/>
          </w:tcPr>
          <w:p w14:paraId="34CDD0C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55B9C4BF">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5A05A6C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5</w:t>
            </w:r>
          </w:p>
        </w:tc>
        <w:tc>
          <w:tcPr>
            <w:tcW w:w="4166" w:type="dxa"/>
            <w:tcBorders>
              <w:tl2br w:val="nil"/>
              <w:tr2bl w:val="nil"/>
            </w:tcBorders>
            <w:shd w:val="clear" w:color="auto" w:fill="FFFFFF"/>
            <w:vAlign w:val="center"/>
          </w:tcPr>
          <w:p w14:paraId="32F47E0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教师和幼儿</w:t>
            </w:r>
          </w:p>
        </w:tc>
        <w:tc>
          <w:tcPr>
            <w:tcW w:w="1372" w:type="dxa"/>
            <w:tcBorders>
              <w:tl2br w:val="nil"/>
              <w:tr2bl w:val="nil"/>
            </w:tcBorders>
            <w:shd w:val="clear" w:color="auto" w:fill="FFFFFF"/>
            <w:vAlign w:val="center"/>
          </w:tcPr>
          <w:p w14:paraId="23FBA79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2ECA022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32083920">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02D1E7D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4166" w:type="dxa"/>
            <w:tcBorders>
              <w:tl2br w:val="nil"/>
              <w:tr2bl w:val="nil"/>
            </w:tcBorders>
            <w:shd w:val="clear" w:color="auto" w:fill="FFFFFF"/>
            <w:vAlign w:val="center"/>
          </w:tcPr>
          <w:p w14:paraId="7F8F645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幼儿园环境</w:t>
            </w:r>
          </w:p>
        </w:tc>
        <w:tc>
          <w:tcPr>
            <w:tcW w:w="1372" w:type="dxa"/>
            <w:tcBorders>
              <w:tl2br w:val="nil"/>
              <w:tr2bl w:val="nil"/>
            </w:tcBorders>
            <w:shd w:val="clear" w:color="auto" w:fill="FFFFFF"/>
            <w:vAlign w:val="center"/>
          </w:tcPr>
          <w:p w14:paraId="60D87D0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193FCCD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7315B1C1">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3F1F3FF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7</w:t>
            </w:r>
          </w:p>
        </w:tc>
        <w:tc>
          <w:tcPr>
            <w:tcW w:w="4166" w:type="dxa"/>
            <w:tcBorders>
              <w:tl2br w:val="nil"/>
              <w:tr2bl w:val="nil"/>
            </w:tcBorders>
            <w:shd w:val="clear" w:color="auto" w:fill="FFFFFF"/>
            <w:vAlign w:val="center"/>
          </w:tcPr>
          <w:p w14:paraId="7118E3A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幼儿园课程</w:t>
            </w:r>
          </w:p>
        </w:tc>
        <w:tc>
          <w:tcPr>
            <w:tcW w:w="1372" w:type="dxa"/>
            <w:tcBorders>
              <w:tl2br w:val="nil"/>
              <w:tr2bl w:val="nil"/>
            </w:tcBorders>
            <w:shd w:val="clear" w:color="auto" w:fill="FFFFFF"/>
            <w:vAlign w:val="center"/>
          </w:tcPr>
          <w:p w14:paraId="01AB0C1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10</w:t>
            </w:r>
          </w:p>
        </w:tc>
        <w:tc>
          <w:tcPr>
            <w:tcW w:w="1600" w:type="dxa"/>
            <w:tcBorders>
              <w:tl2br w:val="nil"/>
              <w:tr2bl w:val="nil"/>
            </w:tcBorders>
            <w:shd w:val="clear" w:color="auto" w:fill="FFFFFF"/>
            <w:vAlign w:val="center"/>
          </w:tcPr>
          <w:p w14:paraId="69070D9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216FC0E0">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2CE9C1B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8</w:t>
            </w:r>
          </w:p>
        </w:tc>
        <w:tc>
          <w:tcPr>
            <w:tcW w:w="4166" w:type="dxa"/>
            <w:tcBorders>
              <w:tl2br w:val="nil"/>
              <w:tr2bl w:val="nil"/>
            </w:tcBorders>
            <w:shd w:val="clear" w:color="auto" w:fill="FFFFFF"/>
            <w:vAlign w:val="center"/>
          </w:tcPr>
          <w:p w14:paraId="3581215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幼儿园的游戏</w:t>
            </w:r>
          </w:p>
        </w:tc>
        <w:tc>
          <w:tcPr>
            <w:tcW w:w="1372" w:type="dxa"/>
            <w:tcBorders>
              <w:tl2br w:val="nil"/>
              <w:tr2bl w:val="nil"/>
            </w:tcBorders>
            <w:shd w:val="clear" w:color="auto" w:fill="FFFFFF"/>
            <w:vAlign w:val="center"/>
          </w:tcPr>
          <w:p w14:paraId="432BC69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32699FF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9402D01">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05CB092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9</w:t>
            </w:r>
          </w:p>
        </w:tc>
        <w:tc>
          <w:tcPr>
            <w:tcW w:w="4166" w:type="dxa"/>
            <w:tcBorders>
              <w:tl2br w:val="nil"/>
              <w:tr2bl w:val="nil"/>
            </w:tcBorders>
            <w:shd w:val="clear" w:color="auto" w:fill="FFFFFF"/>
            <w:vAlign w:val="center"/>
          </w:tcPr>
          <w:p w14:paraId="128F41A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幼儿园教学活动</w:t>
            </w:r>
          </w:p>
        </w:tc>
        <w:tc>
          <w:tcPr>
            <w:tcW w:w="1372" w:type="dxa"/>
            <w:tcBorders>
              <w:tl2br w:val="nil"/>
              <w:tr2bl w:val="nil"/>
            </w:tcBorders>
            <w:shd w:val="clear" w:color="auto" w:fill="FFFFFF"/>
            <w:vAlign w:val="center"/>
          </w:tcPr>
          <w:p w14:paraId="1B7AA6E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3B2DD8F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B56E334">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3B3E84F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10</w:t>
            </w:r>
          </w:p>
        </w:tc>
        <w:tc>
          <w:tcPr>
            <w:tcW w:w="4166" w:type="dxa"/>
            <w:tcBorders>
              <w:tl2br w:val="nil"/>
              <w:tr2bl w:val="nil"/>
            </w:tcBorders>
            <w:shd w:val="clear" w:color="auto" w:fill="FFFFFF"/>
            <w:vAlign w:val="center"/>
          </w:tcPr>
          <w:p w14:paraId="074BB76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幼儿园一日生活活动</w:t>
            </w:r>
          </w:p>
        </w:tc>
        <w:tc>
          <w:tcPr>
            <w:tcW w:w="1372" w:type="dxa"/>
            <w:tcBorders>
              <w:tl2br w:val="nil"/>
              <w:tr2bl w:val="nil"/>
            </w:tcBorders>
            <w:shd w:val="clear" w:color="auto" w:fill="FFFFFF"/>
            <w:vAlign w:val="center"/>
          </w:tcPr>
          <w:p w14:paraId="477F2A2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32898A7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6560139">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4C105C6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11</w:t>
            </w:r>
          </w:p>
        </w:tc>
        <w:tc>
          <w:tcPr>
            <w:tcW w:w="4166" w:type="dxa"/>
            <w:tcBorders>
              <w:tl2br w:val="nil"/>
              <w:tr2bl w:val="nil"/>
            </w:tcBorders>
            <w:shd w:val="clear" w:color="auto" w:fill="FFFFFF"/>
            <w:vAlign w:val="center"/>
          </w:tcPr>
          <w:p w14:paraId="427C491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幼儿园区域活动</w:t>
            </w:r>
          </w:p>
        </w:tc>
        <w:tc>
          <w:tcPr>
            <w:tcW w:w="1372" w:type="dxa"/>
            <w:tcBorders>
              <w:tl2br w:val="nil"/>
              <w:tr2bl w:val="nil"/>
            </w:tcBorders>
            <w:shd w:val="clear" w:color="auto" w:fill="FFFFFF"/>
            <w:vAlign w:val="center"/>
          </w:tcPr>
          <w:p w14:paraId="3DBB823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63EB507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0961A48D">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3E2F332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12</w:t>
            </w:r>
          </w:p>
        </w:tc>
        <w:tc>
          <w:tcPr>
            <w:tcW w:w="4166" w:type="dxa"/>
            <w:tcBorders>
              <w:tl2br w:val="nil"/>
              <w:tr2bl w:val="nil"/>
            </w:tcBorders>
            <w:shd w:val="clear" w:color="auto" w:fill="FFFFFF"/>
            <w:vAlign w:val="center"/>
          </w:tcPr>
          <w:p w14:paraId="22B832D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学前教育机构与家庭、社区</w:t>
            </w:r>
          </w:p>
        </w:tc>
        <w:tc>
          <w:tcPr>
            <w:tcW w:w="1372" w:type="dxa"/>
            <w:tcBorders>
              <w:tl2br w:val="nil"/>
              <w:tr2bl w:val="nil"/>
            </w:tcBorders>
            <w:shd w:val="clear" w:color="auto" w:fill="FFFFFF"/>
            <w:vAlign w:val="center"/>
          </w:tcPr>
          <w:p w14:paraId="27F8139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03DDAF1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72A0C1B3">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10BD546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13</w:t>
            </w:r>
          </w:p>
        </w:tc>
        <w:tc>
          <w:tcPr>
            <w:tcW w:w="4166" w:type="dxa"/>
            <w:tcBorders>
              <w:tl2br w:val="nil"/>
              <w:tr2bl w:val="nil"/>
            </w:tcBorders>
            <w:shd w:val="clear" w:color="auto" w:fill="FFFFFF"/>
            <w:vAlign w:val="center"/>
          </w:tcPr>
          <w:p w14:paraId="753D384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幼儿园与小学</w:t>
            </w:r>
          </w:p>
        </w:tc>
        <w:tc>
          <w:tcPr>
            <w:tcW w:w="1372" w:type="dxa"/>
            <w:tcBorders>
              <w:tl2br w:val="nil"/>
              <w:tr2bl w:val="nil"/>
            </w:tcBorders>
            <w:shd w:val="clear" w:color="auto" w:fill="FFFFFF"/>
            <w:vAlign w:val="center"/>
          </w:tcPr>
          <w:p w14:paraId="1DB5901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2D59481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0C42BDEE">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40C22E8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总计</w:t>
            </w:r>
          </w:p>
        </w:tc>
        <w:tc>
          <w:tcPr>
            <w:tcW w:w="4166" w:type="dxa"/>
            <w:tcBorders>
              <w:tl2br w:val="nil"/>
              <w:tr2bl w:val="nil"/>
            </w:tcBorders>
            <w:shd w:val="clear" w:color="auto" w:fill="FFFFFF"/>
            <w:vAlign w:val="center"/>
          </w:tcPr>
          <w:p w14:paraId="2EBD44B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c>
          <w:tcPr>
            <w:tcW w:w="1372" w:type="dxa"/>
            <w:tcBorders>
              <w:tl2br w:val="nil"/>
              <w:tr2bl w:val="nil"/>
            </w:tcBorders>
            <w:shd w:val="clear" w:color="auto" w:fill="FFFFFF"/>
            <w:vAlign w:val="center"/>
          </w:tcPr>
          <w:p w14:paraId="52970D1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72</w:t>
            </w:r>
          </w:p>
        </w:tc>
        <w:tc>
          <w:tcPr>
            <w:tcW w:w="1600" w:type="dxa"/>
            <w:tcBorders>
              <w:tl2br w:val="nil"/>
              <w:tr2bl w:val="nil"/>
            </w:tcBorders>
            <w:shd w:val="clear" w:color="auto" w:fill="FFFFFF"/>
            <w:vAlign w:val="center"/>
          </w:tcPr>
          <w:p w14:paraId="2F51028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bl>
    <w:p w14:paraId="0D3B61B4">
      <w:pPr>
        <w:rPr>
          <w:rFonts w:hint="eastAsia" w:ascii="黑体" w:hAnsi="黑体" w:eastAsia="黑体" w:cs="黑体"/>
          <w:b/>
          <w:bCs/>
          <w:color w:val="000000" w:themeColor="text1"/>
          <w:sz w:val="44"/>
          <w:szCs w:val="44"/>
          <w:lang w:eastAsia="zh-CN"/>
          <w14:textFill>
            <w14:solidFill>
              <w14:schemeClr w14:val="tx1"/>
            </w14:solidFill>
          </w14:textFill>
        </w:rPr>
        <w:sectPr>
          <w:headerReference r:id="rId6" w:type="first"/>
          <w:footerReference r:id="rId8" w:type="first"/>
          <w:headerReference r:id="rId5" w:type="default"/>
          <w:footerReference r:id="rId7" w:type="default"/>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pPr>
    </w:p>
    <w:p w14:paraId="22A1CA09">
      <w:pPr>
        <w:pStyle w:val="2"/>
        <w:bidi w:val="0"/>
        <w:jc w:val="center"/>
        <w:rPr>
          <w:rFonts w:hint="eastAsia" w:ascii="宋体" w:hAnsi="宋体" w:eastAsia="宋体" w:cs="宋体"/>
          <w:color w:val="auto"/>
          <w:lang w:eastAsia="zh-CN"/>
        </w:rPr>
      </w:pPr>
      <w:r>
        <w:rPr>
          <w:rFonts w:hint="eastAsia" w:ascii="Times New Roman" w:hAnsi="Times New Roman"/>
          <w:b/>
          <w:bCs/>
          <w:sz w:val="28"/>
          <w:szCs w:val="28"/>
        </w:rPr>
        <w:t>第</w:t>
      </w:r>
      <w:r>
        <w:rPr>
          <w:rFonts w:hint="eastAsia" w:ascii="Times New Roman" w:hAnsi="Times New Roman"/>
          <w:b/>
          <w:bCs/>
          <w:sz w:val="28"/>
          <w:szCs w:val="28"/>
          <w:lang w:val="en-US" w:eastAsia="zh-CN"/>
        </w:rPr>
        <w:t>13</w:t>
      </w:r>
      <w:r>
        <w:rPr>
          <w:rFonts w:hint="eastAsia" w:ascii="Times New Roman" w:hAnsi="Times New Roman"/>
          <w:b/>
          <w:bCs/>
          <w:sz w:val="28"/>
          <w:szCs w:val="28"/>
        </w:rPr>
        <w:t>课</w:t>
      </w:r>
      <w:r>
        <w:rPr>
          <w:rFonts w:hint="eastAsia" w:ascii="Times New Roman" w:hAnsi="Times New Roman"/>
          <w:b/>
          <w:bCs/>
          <w:sz w:val="28"/>
          <w:szCs w:val="28"/>
          <w:lang w:val="en-US" w:eastAsia="zh-CN"/>
        </w:rPr>
        <w:t xml:space="preserve">  </w:t>
      </w:r>
      <w:r>
        <w:rPr>
          <w:rFonts w:hint="eastAsia" w:ascii="Times New Roman" w:hAnsi="Times New Roman"/>
          <w:b/>
          <w:bCs/>
          <w:sz w:val="28"/>
          <w:szCs w:val="28"/>
          <w:lang w:eastAsia="zh-CN"/>
        </w:rPr>
        <w:t>幼儿园与小学</w:t>
      </w:r>
    </w:p>
    <w:tbl>
      <w:tblPr>
        <w:tblStyle w:val="9"/>
        <w:tblW w:w="10772" w:type="dxa"/>
        <w:jc w:val="center"/>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Layout w:type="fixed"/>
        <w:tblCellMar>
          <w:top w:w="0" w:type="dxa"/>
          <w:left w:w="108" w:type="dxa"/>
          <w:bottom w:w="0" w:type="dxa"/>
          <w:right w:w="108" w:type="dxa"/>
        </w:tblCellMar>
      </w:tblPr>
      <w:tblGrid>
        <w:gridCol w:w="1626"/>
        <w:gridCol w:w="7404"/>
        <w:gridCol w:w="1742"/>
      </w:tblGrid>
      <w:tr w14:paraId="4E057A6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D06801D">
            <w:pPr>
              <w:keepNext w:val="0"/>
              <w:keepLines w:val="0"/>
              <w:suppressLineNumbers w:val="0"/>
              <w:spacing w:before="0" w:beforeAutospacing="0" w:after="0" w:afterAutospacing="0" w:line="360" w:lineRule="auto"/>
              <w:ind w:left="0" w:right="0" w:hanging="8"/>
              <w:jc w:val="center"/>
              <w:rPr>
                <w:rFonts w:hint="eastAsia" w:ascii="宋体" w:hAnsi="宋体" w:eastAsia="宋体" w:cs="宋体"/>
                <w:b/>
                <w:bCs w:val="0"/>
                <w:sz w:val="24"/>
                <w:szCs w:val="24"/>
              </w:rPr>
            </w:pPr>
            <w:bookmarkStart w:id="0" w:name="_GoBack" w:colFirst="0" w:colLast="0"/>
            <w:r>
              <w:rPr>
                <w:rFonts w:hint="eastAsia" w:ascii="宋体" w:hAnsi="宋体" w:eastAsia="宋体" w:cs="宋体"/>
                <w:b/>
                <w:bCs w:val="0"/>
                <w:sz w:val="24"/>
                <w:szCs w:val="24"/>
              </w:rPr>
              <w:t>课题</w:t>
            </w:r>
          </w:p>
        </w:tc>
        <w:tc>
          <w:tcPr>
            <w:tcW w:w="7173" w:type="dxa"/>
            <w:gridSpan w:val="2"/>
            <w:tcBorders>
              <w:tl2br w:val="nil"/>
              <w:tr2bl w:val="nil"/>
            </w:tcBorders>
            <w:vAlign w:val="center"/>
          </w:tcPr>
          <w:p w14:paraId="6CAD680D">
            <w:pPr>
              <w:keepNext w:val="0"/>
              <w:keepLines w:val="0"/>
              <w:suppressLineNumbers w:val="0"/>
              <w:spacing w:before="0" w:beforeAutospacing="0" w:after="0" w:afterAutospacing="0" w:line="360" w:lineRule="auto"/>
              <w:ind w:left="0" w:right="0" w:hanging="8"/>
              <w:rPr>
                <w:rFonts w:hint="eastAsia" w:ascii="Times New Roman" w:hAnsi="Times New Roman" w:eastAsia="宋体"/>
                <w:szCs w:val="20"/>
                <w:lang w:eastAsia="zh-CN"/>
              </w:rPr>
            </w:pPr>
            <w:r>
              <w:rPr>
                <w:rFonts w:hint="eastAsia" w:ascii="Times New Roman" w:hAnsi="宋体"/>
                <w:szCs w:val="20"/>
                <w:lang w:eastAsia="zh-CN"/>
              </w:rPr>
              <w:t>幼儿园与小学</w:t>
            </w:r>
          </w:p>
        </w:tc>
      </w:tr>
      <w:tr w14:paraId="0A47584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425B29D">
            <w:pPr>
              <w:keepNext w:val="0"/>
              <w:keepLines w:val="0"/>
              <w:suppressLineNumbers w:val="0"/>
              <w:spacing w:before="0" w:beforeAutospacing="0" w:after="0" w:afterAutospacing="0" w:line="360" w:lineRule="auto"/>
              <w:ind w:left="0" w:right="0" w:hanging="8"/>
              <w:jc w:val="center"/>
              <w:rPr>
                <w:rFonts w:hint="eastAsia" w:ascii="宋体" w:hAnsi="宋体" w:eastAsia="宋体" w:cs="宋体"/>
                <w:b/>
                <w:bCs w:val="0"/>
                <w:sz w:val="24"/>
                <w:szCs w:val="24"/>
              </w:rPr>
            </w:pPr>
            <w:r>
              <w:rPr>
                <w:rFonts w:hint="eastAsia" w:ascii="宋体" w:hAnsi="宋体" w:eastAsia="宋体" w:cs="宋体"/>
                <w:b/>
                <w:bCs w:val="0"/>
                <w:sz w:val="24"/>
                <w:szCs w:val="24"/>
              </w:rPr>
              <w:t>课时</w:t>
            </w:r>
          </w:p>
        </w:tc>
        <w:tc>
          <w:tcPr>
            <w:tcW w:w="7173" w:type="dxa"/>
            <w:gridSpan w:val="2"/>
            <w:tcBorders>
              <w:tl2br w:val="nil"/>
              <w:tr2bl w:val="nil"/>
            </w:tcBorders>
            <w:vAlign w:val="center"/>
          </w:tcPr>
          <w:p w14:paraId="6D0C80B5">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Times New Roman"/>
                <w:szCs w:val="20"/>
                <w:lang w:val="en-US" w:eastAsia="zh-CN"/>
              </w:rPr>
              <w:t>4</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180</w:t>
            </w:r>
            <w:r>
              <w:rPr>
                <w:rFonts w:hint="eastAsia" w:ascii="Times New Roman" w:hAnsi="宋体"/>
                <w:szCs w:val="20"/>
              </w:rPr>
              <w:t>min）。</w:t>
            </w:r>
          </w:p>
        </w:tc>
      </w:tr>
      <w:tr w14:paraId="14D1E8A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0C89088">
            <w:pPr>
              <w:keepNext w:val="0"/>
              <w:keepLines w:val="0"/>
              <w:suppressLineNumbers w:val="0"/>
              <w:spacing w:before="0" w:beforeAutospacing="0" w:after="0" w:afterAutospacing="0" w:line="360" w:lineRule="auto"/>
              <w:ind w:left="0" w:right="0" w:hanging="8"/>
              <w:jc w:val="center"/>
              <w:rPr>
                <w:rFonts w:hint="eastAsia" w:ascii="宋体" w:hAnsi="宋体" w:eastAsia="宋体" w:cs="宋体"/>
                <w:b/>
                <w:bCs w:val="0"/>
                <w:sz w:val="24"/>
                <w:szCs w:val="24"/>
              </w:rPr>
            </w:pPr>
            <w:r>
              <w:rPr>
                <w:rFonts w:hint="eastAsia" w:ascii="宋体" w:hAnsi="宋体" w:eastAsia="宋体" w:cs="宋体"/>
                <w:b/>
                <w:bCs w:val="0"/>
                <w:sz w:val="24"/>
                <w:szCs w:val="24"/>
              </w:rPr>
              <w:t>教学目标</w:t>
            </w:r>
          </w:p>
        </w:tc>
        <w:tc>
          <w:tcPr>
            <w:tcW w:w="7173" w:type="dxa"/>
            <w:gridSpan w:val="2"/>
            <w:tcBorders>
              <w:tl2br w:val="nil"/>
              <w:tr2bl w:val="nil"/>
            </w:tcBorders>
            <w:vAlign w:val="center"/>
          </w:tcPr>
          <w:p w14:paraId="4C52466A">
            <w:pPr>
              <w:keepNext w:val="0"/>
              <w:keepLines w:val="0"/>
              <w:suppressLineNumbers w:val="0"/>
              <w:spacing w:before="0" w:beforeAutospacing="0" w:after="0" w:afterAutospacing="0" w:line="360" w:lineRule="auto"/>
              <w:ind w:left="0" w:right="0" w:hanging="8"/>
              <w:rPr>
                <w:rFonts w:hint="default"/>
                <w:b/>
              </w:rPr>
            </w:pPr>
            <w:r>
              <w:rPr>
                <w:rFonts w:hint="default" w:hAnsi="宋体"/>
                <w:b/>
              </w:rPr>
              <w:t>知识</w:t>
            </w:r>
            <w:r>
              <w:rPr>
                <w:rFonts w:hint="eastAsia" w:hAnsi="宋体"/>
                <w:b/>
              </w:rPr>
              <w:t>技能</w:t>
            </w:r>
            <w:r>
              <w:rPr>
                <w:rFonts w:hint="default" w:hAnsi="宋体"/>
                <w:b/>
              </w:rPr>
              <w:t>目标：</w:t>
            </w:r>
          </w:p>
          <w:p w14:paraId="57CA1ECA">
            <w:pPr>
              <w:keepNext w:val="0"/>
              <w:keepLines w:val="0"/>
              <w:suppressLineNumbers w:val="0"/>
              <w:spacing w:before="0" w:beforeAutospacing="0" w:after="0" w:afterAutospacing="0" w:line="360" w:lineRule="auto"/>
              <w:ind w:left="0" w:right="0" w:hanging="8"/>
              <w:rPr>
                <w:rFonts w:hint="default" w:ascii="Times New Roman" w:hAnsi="宋体"/>
                <w:bCs/>
                <w:szCs w:val="20"/>
              </w:rPr>
            </w:pPr>
            <w:r>
              <w:rPr>
                <w:rFonts w:hint="default" w:ascii="Times New Roman" w:hAnsi="Times New Roman"/>
                <w:szCs w:val="20"/>
              </w:rPr>
              <w:t>1</w:t>
            </w:r>
            <w:r>
              <w:rPr>
                <w:rFonts w:hint="default" w:ascii="Times New Roman" w:hAnsi="宋体"/>
                <w:bCs/>
                <w:szCs w:val="20"/>
              </w:rPr>
              <w:t>．</w:t>
            </w:r>
            <w:r>
              <w:rPr>
                <w:rFonts w:hint="eastAsia" w:ascii="Times New Roman" w:hAnsi="宋体"/>
                <w:bCs/>
                <w:szCs w:val="20"/>
              </w:rPr>
              <w:t>了解幼小衔接的含义及意义。</w:t>
            </w:r>
          </w:p>
          <w:p w14:paraId="01C4A63D">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default" w:ascii="Times New Roman" w:hAnsi="Times New Roman"/>
                <w:szCs w:val="20"/>
              </w:rPr>
              <w:t>2</w:t>
            </w:r>
            <w:r>
              <w:rPr>
                <w:rFonts w:hint="default" w:ascii="Times New Roman" w:hAnsi="宋体"/>
                <w:bCs/>
                <w:szCs w:val="20"/>
              </w:rPr>
              <w:t>．</w:t>
            </w:r>
            <w:r>
              <w:rPr>
                <w:rFonts w:hint="eastAsia" w:ascii="Times New Roman" w:hAnsi="宋体"/>
                <w:bCs/>
                <w:szCs w:val="20"/>
              </w:rPr>
              <w:t xml:space="preserve"> 掌握幼小衔接的内容和方法。</w:t>
            </w:r>
          </w:p>
          <w:p w14:paraId="3072BC6D">
            <w:pPr>
              <w:keepNext w:val="0"/>
              <w:keepLines w:val="0"/>
              <w:suppressLineNumbers w:val="0"/>
              <w:spacing w:before="0" w:beforeAutospacing="0" w:after="0" w:afterAutospacing="0" w:line="360" w:lineRule="auto"/>
              <w:ind w:left="0" w:right="0" w:hanging="8"/>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14:paraId="686F16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6" w:right="0" w:firstLine="420" w:firstLineChars="200"/>
              <w:textAlignment w:val="auto"/>
              <w:rPr>
                <w:rFonts w:hint="default" w:ascii="Times New Roman" w:hAnsi="Times New Roman"/>
                <w:szCs w:val="20"/>
              </w:rPr>
            </w:pPr>
            <w:r>
              <w:rPr>
                <w:rFonts w:hint="eastAsia" w:ascii="Times New Roman" w:hAnsi="宋体"/>
                <w:bCs/>
                <w:szCs w:val="20"/>
              </w:rPr>
              <w:t>让学生通过学习</w:t>
            </w:r>
            <w:r>
              <w:rPr>
                <w:rFonts w:hint="eastAsia" w:ascii="Times New Roman" w:hAnsi="宋体"/>
                <w:bCs/>
                <w:szCs w:val="20"/>
                <w:lang w:eastAsia="zh-CN"/>
              </w:rPr>
              <w:t>幼儿园与小学</w:t>
            </w:r>
            <w:r>
              <w:rPr>
                <w:rFonts w:hint="eastAsia" w:ascii="Times New Roman" w:hAnsi="宋体"/>
                <w:bCs/>
                <w:szCs w:val="20"/>
              </w:rPr>
              <w:t>，理解幼小衔接的重要意义，树立正确的教育观，自觉地抵制幼儿园小学化倾向。</w:t>
            </w:r>
          </w:p>
        </w:tc>
      </w:tr>
      <w:tr w14:paraId="5668455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587AABF3">
            <w:pPr>
              <w:keepNext w:val="0"/>
              <w:keepLines w:val="0"/>
              <w:suppressLineNumbers w:val="0"/>
              <w:spacing w:before="0" w:beforeAutospacing="0" w:after="0" w:afterAutospacing="0" w:line="360" w:lineRule="auto"/>
              <w:ind w:left="0" w:right="0" w:hanging="8"/>
              <w:jc w:val="center"/>
              <w:rPr>
                <w:rFonts w:hint="eastAsia" w:ascii="宋体" w:hAnsi="宋体" w:eastAsia="宋体" w:cs="宋体"/>
                <w:b/>
                <w:bCs w:val="0"/>
                <w:sz w:val="24"/>
                <w:szCs w:val="24"/>
              </w:rPr>
            </w:pPr>
            <w:r>
              <w:rPr>
                <w:rFonts w:hint="eastAsia" w:ascii="宋体" w:hAnsi="宋体" w:eastAsia="宋体" w:cs="宋体"/>
                <w:b/>
                <w:bCs w:val="0"/>
                <w:sz w:val="24"/>
                <w:szCs w:val="24"/>
              </w:rPr>
              <w:t>教学重难点</w:t>
            </w:r>
          </w:p>
        </w:tc>
        <w:tc>
          <w:tcPr>
            <w:tcW w:w="7173" w:type="dxa"/>
            <w:gridSpan w:val="2"/>
            <w:tcBorders>
              <w:tl2br w:val="nil"/>
              <w:tr2bl w:val="nil"/>
            </w:tcBorders>
            <w:vAlign w:val="center"/>
          </w:tcPr>
          <w:p w14:paraId="6A46BE08">
            <w:pPr>
              <w:keepNext w:val="0"/>
              <w:keepLines w:val="0"/>
              <w:suppressLineNumbers w:val="0"/>
              <w:spacing w:before="0" w:beforeAutospacing="0" w:after="0" w:afterAutospacing="0" w:line="360" w:lineRule="auto"/>
              <w:ind w:left="0" w:right="0" w:hanging="8"/>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宋体" w:hAnsi="宋体" w:cs="宋体"/>
                <w:kern w:val="0"/>
              </w:rPr>
              <w:t>幼小衔接的含义</w:t>
            </w:r>
          </w:p>
          <w:p w14:paraId="0B1B1B97">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幼儿园实施幼小衔接的指导思想</w:t>
            </w:r>
          </w:p>
        </w:tc>
      </w:tr>
      <w:tr w14:paraId="4B24EFB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4DB8220">
            <w:pPr>
              <w:keepNext w:val="0"/>
              <w:keepLines w:val="0"/>
              <w:suppressLineNumbers w:val="0"/>
              <w:spacing w:before="0" w:beforeAutospacing="0" w:after="0" w:afterAutospacing="0" w:line="360" w:lineRule="auto"/>
              <w:ind w:left="0" w:right="0" w:hanging="8"/>
              <w:jc w:val="center"/>
              <w:rPr>
                <w:rFonts w:hint="eastAsia" w:ascii="宋体" w:hAnsi="宋体" w:eastAsia="宋体" w:cs="宋体"/>
                <w:b/>
                <w:bCs w:val="0"/>
                <w:sz w:val="24"/>
                <w:szCs w:val="24"/>
              </w:rPr>
            </w:pPr>
            <w:r>
              <w:rPr>
                <w:rFonts w:hint="eastAsia" w:ascii="宋体" w:hAnsi="宋体" w:eastAsia="宋体" w:cs="宋体"/>
                <w:b/>
                <w:bCs w:val="0"/>
                <w:sz w:val="24"/>
                <w:szCs w:val="24"/>
              </w:rPr>
              <w:t>教学方法</w:t>
            </w:r>
          </w:p>
        </w:tc>
        <w:tc>
          <w:tcPr>
            <w:tcW w:w="7173" w:type="dxa"/>
            <w:gridSpan w:val="2"/>
            <w:tcBorders>
              <w:tl2br w:val="nil"/>
              <w:tr2bl w:val="nil"/>
            </w:tcBorders>
            <w:vAlign w:val="center"/>
          </w:tcPr>
          <w:p w14:paraId="038E38DD">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讲授法、问答法、讨论法</w:t>
            </w:r>
          </w:p>
        </w:tc>
      </w:tr>
      <w:tr w14:paraId="53901B6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9BA7B90">
            <w:pPr>
              <w:keepNext w:val="0"/>
              <w:keepLines w:val="0"/>
              <w:suppressLineNumbers w:val="0"/>
              <w:spacing w:before="0" w:beforeAutospacing="0" w:after="0" w:afterAutospacing="0" w:line="360" w:lineRule="auto"/>
              <w:ind w:left="0" w:right="0" w:hanging="8"/>
              <w:jc w:val="center"/>
              <w:rPr>
                <w:rFonts w:hint="eastAsia" w:ascii="宋体" w:hAnsi="宋体" w:eastAsia="宋体" w:cs="宋体"/>
                <w:b/>
                <w:bCs w:val="0"/>
                <w:sz w:val="24"/>
                <w:szCs w:val="24"/>
              </w:rPr>
            </w:pPr>
            <w:r>
              <w:rPr>
                <w:rFonts w:hint="eastAsia" w:ascii="宋体" w:hAnsi="宋体" w:eastAsia="宋体" w:cs="宋体"/>
                <w:b/>
                <w:bCs w:val="0"/>
                <w:sz w:val="24"/>
                <w:szCs w:val="24"/>
              </w:rPr>
              <w:t>教学用具</w:t>
            </w:r>
          </w:p>
        </w:tc>
        <w:tc>
          <w:tcPr>
            <w:tcW w:w="7173" w:type="dxa"/>
            <w:gridSpan w:val="2"/>
            <w:tcBorders>
              <w:tl2br w:val="nil"/>
              <w:tr2bl w:val="nil"/>
            </w:tcBorders>
            <w:vAlign w:val="center"/>
          </w:tcPr>
          <w:p w14:paraId="36C8E8D2">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14:paraId="6103204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5900410">
            <w:pPr>
              <w:keepNext w:val="0"/>
              <w:keepLines w:val="0"/>
              <w:suppressLineNumbers w:val="0"/>
              <w:spacing w:before="0" w:beforeAutospacing="0" w:after="0" w:afterAutospacing="0" w:line="360" w:lineRule="auto"/>
              <w:ind w:left="0" w:right="0" w:hanging="8"/>
              <w:jc w:val="center"/>
              <w:rPr>
                <w:rFonts w:hint="eastAsia" w:ascii="宋体" w:hAnsi="宋体" w:eastAsia="宋体" w:cs="宋体"/>
                <w:b/>
                <w:bCs w:val="0"/>
                <w:sz w:val="24"/>
                <w:szCs w:val="24"/>
              </w:rPr>
            </w:pPr>
            <w:r>
              <w:rPr>
                <w:rFonts w:hint="eastAsia" w:ascii="宋体" w:hAnsi="宋体" w:eastAsia="宋体" w:cs="宋体"/>
                <w:b/>
                <w:bCs w:val="0"/>
                <w:sz w:val="24"/>
                <w:szCs w:val="24"/>
              </w:rPr>
              <w:t>教学设计</w:t>
            </w:r>
          </w:p>
        </w:tc>
        <w:tc>
          <w:tcPr>
            <w:tcW w:w="7173" w:type="dxa"/>
            <w:gridSpan w:val="2"/>
            <w:tcBorders>
              <w:tl2br w:val="nil"/>
              <w:tr2bl w:val="nil"/>
            </w:tcBorders>
            <w:vAlign w:val="center"/>
          </w:tcPr>
          <w:p w14:paraId="14E3AAD6">
            <w:pPr>
              <w:keepNext w:val="0"/>
              <w:keepLines w:val="0"/>
              <w:suppressLineNumbers w:val="0"/>
              <w:spacing w:before="0" w:beforeAutospacing="0" w:after="0" w:afterAutospacing="0" w:line="360"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14:paraId="1DABAF0D">
            <w:pPr>
              <w:keepNext w:val="0"/>
              <w:keepLines w:val="0"/>
              <w:suppressLineNumbers w:val="0"/>
              <w:spacing w:before="0" w:beforeAutospacing="0" w:after="0" w:afterAutospacing="0" w:line="360"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p w14:paraId="76A7B35D">
            <w:pPr>
              <w:keepNext w:val="0"/>
              <w:keepLines w:val="0"/>
              <w:suppressLineNumbers w:val="0"/>
              <w:spacing w:before="0" w:beforeAutospacing="0" w:after="0" w:afterAutospacing="0" w:line="360" w:lineRule="auto"/>
              <w:ind w:left="0" w:right="0" w:hanging="8"/>
              <w:rPr>
                <w:rFonts w:hint="eastAsia" w:ascii="Times New Roman" w:hAnsi="宋体"/>
                <w:szCs w:val="20"/>
              </w:rPr>
            </w:pPr>
            <w:r>
              <w:rPr>
                <w:rFonts w:hint="eastAsia" w:ascii="Times New Roman" w:hAnsi="宋体"/>
                <w:kern w:val="0"/>
                <w:szCs w:val="20"/>
              </w:rPr>
              <w:t>第</w:t>
            </w:r>
            <w:r>
              <w:rPr>
                <w:rFonts w:hint="default" w:ascii="Times New Roman" w:hAnsi="宋体"/>
                <w:kern w:val="0"/>
                <w:szCs w:val="20"/>
              </w:rPr>
              <w:t>3</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eastAsia="zh-CN"/>
              </w:rPr>
              <w:t>作业布置</w:t>
            </w:r>
            <w:r>
              <w:rPr>
                <w:rFonts w:hint="eastAsia" w:ascii="Times New Roman" w:hAnsi="宋体"/>
                <w:szCs w:val="20"/>
              </w:rPr>
              <w:t>（2min）</w:t>
            </w:r>
          </w:p>
          <w:p w14:paraId="1AA36BAB">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4</w:t>
            </w:r>
            <w:r>
              <w:rPr>
                <w:rFonts w:hint="default" w:ascii="Times New Roman" w:hAnsi="宋体"/>
                <w:szCs w:val="20"/>
              </w:rPr>
              <w:t>节课：知识讲解（40min）--课堂小结（3min）--作业布置（2min）</w:t>
            </w:r>
          </w:p>
        </w:tc>
      </w:tr>
      <w:tr w14:paraId="46A3B42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AAD5044">
            <w:pPr>
              <w:keepNext w:val="0"/>
              <w:keepLines w:val="0"/>
              <w:suppressLineNumbers w:val="0"/>
              <w:spacing w:before="0" w:beforeAutospacing="0" w:after="0" w:afterAutospacing="0" w:line="360" w:lineRule="auto"/>
              <w:ind w:left="0" w:right="0" w:hanging="8"/>
              <w:jc w:val="center"/>
              <w:rPr>
                <w:rFonts w:hint="eastAsia" w:ascii="宋体" w:hAnsi="宋体" w:eastAsia="宋体" w:cs="宋体"/>
                <w:b/>
                <w:bCs w:val="0"/>
                <w:color w:val="C00000"/>
                <w:sz w:val="24"/>
                <w:szCs w:val="24"/>
              </w:rPr>
            </w:pPr>
            <w:r>
              <w:rPr>
                <w:rFonts w:hint="eastAsia" w:ascii="宋体" w:hAnsi="宋体" w:eastAsia="宋体" w:cs="宋体"/>
                <w:b/>
                <w:bCs w:val="0"/>
                <w:color w:val="C00000"/>
                <w:sz w:val="24"/>
                <w:szCs w:val="24"/>
              </w:rPr>
              <w:t>教学过程</w:t>
            </w:r>
          </w:p>
        </w:tc>
        <w:tc>
          <w:tcPr>
            <w:tcW w:w="5807" w:type="dxa"/>
            <w:tcBorders>
              <w:tl2br w:val="nil"/>
              <w:tr2bl w:val="nil"/>
            </w:tcBorders>
            <w:shd w:val="clear" w:color="auto" w:fill="FEF2CC" w:themeFill="accent4" w:themeFillTint="32"/>
            <w:vAlign w:val="center"/>
          </w:tcPr>
          <w:p w14:paraId="6392D731">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C00000"/>
                <w:szCs w:val="20"/>
              </w:rPr>
            </w:pPr>
            <w:r>
              <w:rPr>
                <w:rFonts w:hint="eastAsia" w:ascii="Times New Roman" w:hAnsi="Times New Roman"/>
                <w:b/>
                <w:bCs w:val="0"/>
                <w:color w:val="C00000"/>
                <w:szCs w:val="24"/>
              </w:rPr>
              <w:t>主要教学内容及步骤</w:t>
            </w:r>
          </w:p>
        </w:tc>
        <w:tc>
          <w:tcPr>
            <w:tcW w:w="1366" w:type="dxa"/>
            <w:tcBorders>
              <w:tl2br w:val="nil"/>
              <w:tr2bl w:val="nil"/>
            </w:tcBorders>
            <w:shd w:val="clear" w:color="auto" w:fill="FEF2CC" w:themeFill="accent4" w:themeFillTint="32"/>
            <w:vAlign w:val="center"/>
          </w:tcPr>
          <w:p w14:paraId="7A810573">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tr w14:paraId="0956A47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C4202AB">
            <w:pPr>
              <w:keepNext w:val="0"/>
              <w:keepLines w:val="0"/>
              <w:suppressLineNumbers w:val="0"/>
              <w:spacing w:before="0" w:beforeAutospacing="0" w:after="0" w:afterAutospacing="0" w:line="360" w:lineRule="auto"/>
              <w:ind w:left="0" w:right="0" w:hanging="8"/>
              <w:jc w:val="center"/>
              <w:rPr>
                <w:rFonts w:hint="eastAsia" w:ascii="宋体" w:hAnsi="宋体" w:eastAsia="宋体" w:cs="宋体"/>
                <w:b/>
                <w:bCs w:val="0"/>
                <w:sz w:val="24"/>
                <w:szCs w:val="24"/>
                <w:lang w:eastAsia="zh-CN"/>
              </w:rPr>
            </w:pPr>
            <w:r>
              <w:rPr>
                <w:rFonts w:hint="eastAsia" w:ascii="宋体" w:hAnsi="宋体" w:eastAsia="宋体" w:cs="宋体"/>
                <w:b/>
                <w:bCs w:val="0"/>
                <w:sz w:val="24"/>
                <w:szCs w:val="24"/>
                <w:lang w:eastAsia="zh-CN"/>
              </w:rPr>
              <w:t>考勤</w:t>
            </w:r>
          </w:p>
          <w:p w14:paraId="21E95F8D">
            <w:pPr>
              <w:keepNext w:val="0"/>
              <w:keepLines w:val="0"/>
              <w:suppressLineNumbers w:val="0"/>
              <w:spacing w:before="0" w:beforeAutospacing="0" w:after="0" w:afterAutospacing="0" w:line="360" w:lineRule="auto"/>
              <w:ind w:left="0" w:right="0" w:hanging="8"/>
              <w:jc w:val="center"/>
              <w:rPr>
                <w:rFonts w:hint="eastAsia" w:ascii="宋体" w:hAnsi="宋体" w:eastAsia="宋体" w:cs="宋体"/>
                <w:b/>
                <w:bCs w:val="0"/>
                <w:sz w:val="24"/>
                <w:szCs w:val="24"/>
                <w:lang w:eastAsia="zh-CN"/>
              </w:rPr>
            </w:pPr>
            <w:r>
              <w:rPr>
                <w:rFonts w:hint="eastAsia" w:ascii="宋体" w:hAnsi="宋体" w:eastAsia="宋体" w:cs="宋体"/>
                <w:b/>
                <w:bCs w:val="0"/>
                <w:sz w:val="24"/>
                <w:szCs w:val="24"/>
                <w:lang w:eastAsia="zh-CN"/>
              </w:rPr>
              <w:t>（</w:t>
            </w:r>
            <w:r>
              <w:rPr>
                <w:rFonts w:hint="eastAsia" w:ascii="宋体" w:hAnsi="宋体" w:eastAsia="宋体" w:cs="宋体"/>
                <w:b/>
                <w:bCs w:val="0"/>
                <w:sz w:val="24"/>
                <w:szCs w:val="24"/>
                <w:lang w:val="en-US" w:eastAsia="zh-CN"/>
              </w:rPr>
              <w:t>2min</w:t>
            </w:r>
            <w:r>
              <w:rPr>
                <w:rFonts w:hint="eastAsia" w:ascii="宋体" w:hAnsi="宋体" w:eastAsia="宋体" w:cs="宋体"/>
                <w:b/>
                <w:bCs w:val="0"/>
                <w:sz w:val="24"/>
                <w:szCs w:val="24"/>
                <w:lang w:eastAsia="zh-CN"/>
              </w:rPr>
              <w:t>）</w:t>
            </w:r>
          </w:p>
        </w:tc>
        <w:tc>
          <w:tcPr>
            <w:tcW w:w="5807" w:type="dxa"/>
            <w:tcBorders>
              <w:tl2br w:val="nil"/>
              <w:tr2bl w:val="nil"/>
            </w:tcBorders>
            <w:vAlign w:val="center"/>
          </w:tcPr>
          <w:p w14:paraId="1B57A5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14:paraId="15483A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l2br w:val="nil"/>
              <w:tr2bl w:val="nil"/>
            </w:tcBorders>
            <w:vAlign w:val="center"/>
          </w:tcPr>
          <w:p w14:paraId="5F1C036A">
            <w:pPr>
              <w:keepNext w:val="0"/>
              <w:keepLines w:val="0"/>
              <w:suppressLineNumbers w:val="0"/>
              <w:spacing w:before="0" w:beforeAutospacing="0" w:after="0" w:afterAutospacing="0" w:line="360" w:lineRule="auto"/>
              <w:ind w:left="0" w:right="0"/>
              <w:jc w:val="center"/>
              <w:rPr>
                <w:rFonts w:hint="default" w:ascii="Times New Roman" w:hAnsi="Times New Roman"/>
                <w:szCs w:val="20"/>
              </w:rPr>
            </w:pPr>
            <w:r>
              <w:rPr>
                <w:rFonts w:hint="eastAsia" w:ascii="Times New Roman" w:hAnsi="Times New Roman"/>
                <w:szCs w:val="20"/>
              </w:rPr>
              <w:t>培养学生的组织纪律性,掌握学生的出勤情况</w:t>
            </w:r>
          </w:p>
        </w:tc>
      </w:tr>
      <w:tr w14:paraId="0A7DEB3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527265C">
            <w:pPr>
              <w:keepNext w:val="0"/>
              <w:keepLines w:val="0"/>
              <w:suppressLineNumbers w:val="0"/>
              <w:spacing w:before="0" w:beforeAutospacing="0" w:after="0" w:afterAutospacing="0" w:line="360" w:lineRule="auto"/>
              <w:ind w:left="0" w:right="0"/>
              <w:jc w:val="center"/>
              <w:rPr>
                <w:rFonts w:hint="eastAsia" w:ascii="宋体" w:hAnsi="宋体" w:eastAsia="宋体" w:cs="宋体"/>
                <w:b/>
                <w:bCs w:val="0"/>
                <w:sz w:val="24"/>
                <w:szCs w:val="24"/>
                <w:lang w:eastAsia="zh-CN"/>
              </w:rPr>
            </w:pPr>
            <w:r>
              <w:rPr>
                <w:rFonts w:hint="eastAsia" w:ascii="宋体" w:hAnsi="宋体" w:eastAsia="宋体" w:cs="宋体"/>
                <w:b/>
                <w:bCs w:val="0"/>
                <w:sz w:val="24"/>
                <w:szCs w:val="24"/>
                <w:lang w:eastAsia="zh-CN"/>
              </w:rPr>
              <w:t>知识讲解</w:t>
            </w:r>
          </w:p>
          <w:p w14:paraId="77265C72">
            <w:pPr>
              <w:keepNext w:val="0"/>
              <w:keepLines w:val="0"/>
              <w:suppressLineNumbers w:val="0"/>
              <w:spacing w:before="0" w:beforeAutospacing="0" w:after="0" w:afterAutospacing="0" w:line="360" w:lineRule="auto"/>
              <w:ind w:left="0" w:right="0" w:hanging="8"/>
              <w:jc w:val="center"/>
              <w:rPr>
                <w:rFonts w:hint="eastAsia" w:ascii="宋体" w:hAnsi="宋体" w:eastAsia="宋体" w:cs="宋体"/>
                <w:b/>
                <w:bCs w:val="0"/>
                <w:sz w:val="24"/>
                <w:szCs w:val="24"/>
              </w:rPr>
            </w:pPr>
            <w:r>
              <w:rPr>
                <w:rFonts w:hint="eastAsia" w:ascii="宋体" w:hAnsi="宋体" w:eastAsia="宋体" w:cs="宋体"/>
                <w:b/>
                <w:bCs w:val="0"/>
                <w:sz w:val="24"/>
                <w:szCs w:val="24"/>
              </w:rPr>
              <w:t>（</w:t>
            </w:r>
            <w:r>
              <w:rPr>
                <w:rFonts w:hint="eastAsia" w:ascii="宋体" w:hAnsi="宋体" w:eastAsia="宋体" w:cs="宋体"/>
                <w:b/>
                <w:bCs w:val="0"/>
                <w:sz w:val="24"/>
                <w:szCs w:val="24"/>
                <w:lang w:val="en-US" w:eastAsia="zh-CN"/>
              </w:rPr>
              <w:t>40</w:t>
            </w:r>
            <w:r>
              <w:rPr>
                <w:rFonts w:hint="eastAsia" w:ascii="宋体" w:hAnsi="宋体" w:eastAsia="宋体" w:cs="宋体"/>
                <w:b/>
                <w:bCs w:val="0"/>
                <w:sz w:val="24"/>
                <w:szCs w:val="24"/>
              </w:rPr>
              <w:t>min）</w:t>
            </w:r>
          </w:p>
        </w:tc>
        <w:tc>
          <w:tcPr>
            <w:tcW w:w="5807" w:type="dxa"/>
            <w:tcBorders>
              <w:tl2br w:val="nil"/>
              <w:tr2bl w:val="nil"/>
            </w:tcBorders>
            <w:vAlign w:val="center"/>
          </w:tcPr>
          <w:p w14:paraId="5012E4FE">
            <w:pPr>
              <w:keepNext w:val="0"/>
              <w:keepLines w:val="0"/>
              <w:widowControl/>
              <w:suppressLineNumbers w:val="0"/>
              <w:spacing w:before="0" w:beforeAutospacing="0" w:after="0" w:afterAutospacing="0" w:line="360" w:lineRule="auto"/>
              <w:ind w:left="0" w:right="0"/>
              <w:jc w:val="left"/>
              <w:rPr>
                <w:rFonts w:hint="eastAsia" w:ascii="Times New Roman" w:hAnsi="Times New Roman"/>
                <w:b w:val="0"/>
                <w:bCs/>
                <w:color w:val="C00000"/>
                <w:lang w:val="en-US" w:eastAsia="zh-CN"/>
              </w:rPr>
            </w:pPr>
            <w:r>
              <w:rPr>
                <w:rFonts w:hint="eastAsia" w:ascii="Times New Roman" w:hAnsi="Times New Roman"/>
                <w:b/>
                <w:color w:val="C00000"/>
              </w:rPr>
              <w:t>【教师】</w:t>
            </w:r>
            <w:r>
              <w:rPr>
                <w:rFonts w:hint="eastAsia" w:ascii="宋体" w:hAnsi="宋体" w:eastAsia="宋体" w:cs="宋体"/>
                <w:b w:val="0"/>
                <w:bCs/>
                <w:color w:val="C00000"/>
                <w:kern w:val="2"/>
                <w:sz w:val="21"/>
                <w:szCs w:val="21"/>
                <w:lang w:val="en-US" w:eastAsia="zh-CN" w:bidi="ar"/>
              </w:rPr>
              <w:t>展示幼小衔接工作的意义（</w:t>
            </w:r>
            <w:r>
              <w:rPr>
                <w:rFonts w:hint="eastAsia" w:ascii="Times New Roman" w:hAnsi="Times New Roman"/>
                <w:b w:val="0"/>
                <w:bCs/>
                <w:color w:val="C00000"/>
                <w:lang w:val="en-US" w:eastAsia="zh-CN"/>
              </w:rPr>
              <w:t>一）</w:t>
            </w:r>
          </w:p>
          <w:p w14:paraId="02C37F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一、学前教育机构与小学衔接的含义</w:t>
            </w:r>
          </w:p>
          <w:p w14:paraId="3CAADE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（一）学前教育机构与小学衔接的含义</w:t>
            </w:r>
          </w:p>
          <w:p w14:paraId="4C9741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幼小衔接工作是指幼儿园和小学根据儿童身心发展的阶段性和连续性规律及儿童终身发展的需要，所做的幼儿园教育与小学教育两个阶段的衔接工作。</w:t>
            </w:r>
          </w:p>
          <w:p w14:paraId="0CD3DB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（二）学前教育与小学教育的差异</w:t>
            </w:r>
          </w:p>
          <w:p w14:paraId="7BA8E2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 生活环境的完全改观</w:t>
            </w:r>
          </w:p>
          <w:p w14:paraId="307B7B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幼儿园的活动室，一般布置得美观、生动。桌椅可以移动，学习、生活设施一般都比较集中，活动室、盥洗室、餐厅等紧密相连。儿童生活起来比较方便，有“家”一样的感觉。活动室有自然角、玩具柜，供观察、游戏、娱乐之用。活动室还有区域，儿童可以自由选择自己喜爱的活动方式。而进入小学后，儿童对陌生的环境很不适应，有时做课间操的时候找不到自己班级的位置，甚至找不到厕所。教室里多数只有桌椅，座位固定，没有玩具、图书和其他设备，缺乏对儿童的强烈的吸引力。操场上的许多运动器械几乎都是全校合用的，有很多并不适合低年级的小学生使用。</w:t>
            </w:r>
          </w:p>
          <w:p w14:paraId="5BB4B11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 教育教学任务、儿童的主导活动和学习方式不同</w:t>
            </w:r>
          </w:p>
          <w:p w14:paraId="5D4974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在幼儿园，由幼儿身心发展的特点和需要所决定，幼儿的主导活动是丰富多彩的游戏，幼儿通过动手操作等实践活动获得各种感性体验和社会生活知识。幼儿园没有家庭作业和考试，教师工作主要是根据幼儿的兴趣和需要，创设各种环境和条件，满足幼儿活动的愿望，使幼儿在主动参与的各种活动中获得发展。</w:t>
            </w:r>
          </w:p>
          <w:p w14:paraId="2D5C5C6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小学阶段学生的主导活动是上课，通过课堂教学，使儿童掌握系统的科学文化知识，并在学习过程中获得德、智、体、美等各方面的发展。因此，小学生有明确的学习任务，有严格的考试和一定的家庭作业，而且小学的教学方式与幼儿园有很大不同。</w:t>
            </w:r>
          </w:p>
          <w:p w14:paraId="619752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3. 生活制度的变化</w:t>
            </w:r>
          </w:p>
          <w:p w14:paraId="028FF0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幼儿园各项活动动静交替，每天上课不过 1 小时左右，其他时间以游戏为主，午睡2 小时。生活管理也不带有强制性，没有出勤要求，作息时间比较灵活。小学生上课上午 4 节，下午 1 ～ 2 节。课间休息和游戏时间很短，午睡得不到保证。这种改变，使得儿童在开学初期倍感疲劳，有的上课打瞌睡，面容消瘦，体重下降，有的学习兴趣消失，不愿上课。</w:t>
            </w:r>
          </w:p>
          <w:p w14:paraId="5086AA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4. 师生关系不同</w:t>
            </w:r>
          </w:p>
          <w:p w14:paraId="3E97CAB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幼儿教师作为母亲的象征，总是保教并重，全天参加儿童的游戏、散步、观察、娱乐、日常生活等各项活动，对幼儿的冷暖、饮食、睡眠、如厕、清洁卫生等各个方面都照顾备至，个别接触与谈话的机会较多，慈母般地关怀热爱儿童，师生之情往往形成亲密融洽的心理气氛。</w:t>
            </w:r>
          </w:p>
          <w:p w14:paraId="4B843A4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在小学里，教师的主要精力放在教学上，对学生的生活较少问询。教师与儿童的交往，主要在课堂上、在集体中，除班干部和有特殊行为问题的学生外，师生个别接触的机会很少。教师态度上更严肃，对学生要求严格，这些都和幼儿园老师有显著不同，增加了幼儿在适应中的心理距离，使幼儿感到压抑和生疏。</w:t>
            </w:r>
          </w:p>
          <w:p w14:paraId="18581D19">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7088FE7B">
            <w:pPr>
              <w:keepNext w:val="0"/>
              <w:keepLines w:val="0"/>
              <w:suppressLineNumbers w:val="0"/>
              <w:spacing w:before="0" w:beforeAutospacing="0" w:after="0" w:afterAutospacing="0" w:line="360" w:lineRule="auto"/>
              <w:ind w:left="0" w:right="0"/>
              <w:jc w:val="left"/>
              <w:rPr>
                <w:rFonts w:hint="default" w:ascii="Times New Roman" w:hAnsi="Times New Roman"/>
                <w:b/>
                <w:szCs w:val="20"/>
              </w:rPr>
            </w:pPr>
            <w:r>
              <w:rPr>
                <w:rFonts w:hint="eastAsia" w:ascii="Times New Roman" w:hAnsi="Times New Roman"/>
                <w:b/>
                <w:szCs w:val="24"/>
                <w:lang w:val="en-US" w:eastAsia="zh-CN"/>
              </w:rPr>
              <w:t>展示幼小衔接工作的意义（一）</w:t>
            </w:r>
            <w:r>
              <w:rPr>
                <w:rFonts w:hint="eastAsia" w:ascii="Times New Roman" w:hAnsi="Times New Roman"/>
                <w:b/>
                <w:szCs w:val="24"/>
              </w:rPr>
              <w:t>，</w:t>
            </w:r>
            <w:r>
              <w:rPr>
                <w:rFonts w:hint="eastAsia" w:ascii="Times New Roman" w:hAnsi="Times New Roman"/>
                <w:b/>
                <w:szCs w:val="24"/>
                <w:lang w:eastAsia="zh-CN"/>
              </w:rPr>
              <w:t>让学生更加仔细的阅读，从而</w:t>
            </w:r>
            <w:r>
              <w:rPr>
                <w:rFonts w:hint="eastAsia" w:ascii="Times New Roman" w:hAnsi="Times New Roman"/>
                <w:b/>
                <w:szCs w:val="24"/>
              </w:rPr>
              <w:t>激发学生的学习欲望。</w:t>
            </w:r>
          </w:p>
        </w:tc>
      </w:tr>
      <w:tr w14:paraId="0DCE437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11DEA27">
            <w:pPr>
              <w:keepNext w:val="0"/>
              <w:keepLines w:val="0"/>
              <w:suppressLineNumbers w:val="0"/>
              <w:spacing w:before="0" w:beforeAutospacing="0" w:after="0" w:afterAutospacing="0" w:line="360" w:lineRule="auto"/>
              <w:ind w:left="0" w:right="0" w:hanging="8"/>
              <w:jc w:val="center"/>
              <w:rPr>
                <w:rFonts w:hint="eastAsia" w:ascii="宋体" w:hAnsi="宋体" w:eastAsia="宋体" w:cs="宋体"/>
                <w:b/>
                <w:bCs w:val="0"/>
                <w:sz w:val="24"/>
                <w:szCs w:val="24"/>
              </w:rPr>
            </w:pPr>
            <w:r>
              <w:rPr>
                <w:rFonts w:hint="eastAsia" w:ascii="宋体" w:hAnsi="宋体" w:eastAsia="宋体" w:cs="宋体"/>
                <w:b/>
                <w:bCs w:val="0"/>
                <w:sz w:val="24"/>
                <w:szCs w:val="24"/>
                <w:lang w:eastAsia="zh-CN"/>
              </w:rPr>
              <w:t>作业布置</w:t>
            </w:r>
            <w:r>
              <w:rPr>
                <w:rFonts w:hint="eastAsia" w:ascii="宋体" w:hAnsi="宋体" w:eastAsia="宋体" w:cs="宋体"/>
                <w:b/>
                <w:bCs w:val="0"/>
                <w:sz w:val="24"/>
                <w:szCs w:val="24"/>
              </w:rPr>
              <w:t>（</w:t>
            </w:r>
            <w:r>
              <w:rPr>
                <w:rFonts w:hint="eastAsia" w:ascii="宋体" w:hAnsi="宋体" w:eastAsia="宋体" w:cs="宋体"/>
                <w:b/>
                <w:bCs w:val="0"/>
                <w:sz w:val="24"/>
                <w:szCs w:val="24"/>
                <w:lang w:val="en-US" w:eastAsia="zh-CN"/>
              </w:rPr>
              <w:t>3</w:t>
            </w:r>
            <w:r>
              <w:rPr>
                <w:rFonts w:hint="eastAsia" w:ascii="宋体" w:hAnsi="宋体" w:eastAsia="宋体" w:cs="宋体"/>
                <w:b/>
                <w:bCs w:val="0"/>
                <w:sz w:val="24"/>
                <w:szCs w:val="24"/>
              </w:rPr>
              <w:t>min）</w:t>
            </w:r>
          </w:p>
        </w:tc>
        <w:tc>
          <w:tcPr>
            <w:tcW w:w="5807" w:type="dxa"/>
            <w:tcBorders>
              <w:tl2br w:val="nil"/>
              <w:tr2bl w:val="nil"/>
            </w:tcBorders>
            <w:vAlign w:val="center"/>
          </w:tcPr>
          <w:p w14:paraId="05D0A98F">
            <w:pPr>
              <w:keepNext w:val="0"/>
              <w:keepLines w:val="0"/>
              <w:suppressLineNumbers w:val="0"/>
              <w:spacing w:before="0" w:beforeAutospacing="0" w:after="0" w:afterAutospacing="0" w:line="360"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747082BE">
            <w:pPr>
              <w:keepNext w:val="0"/>
              <w:keepLines w:val="0"/>
              <w:suppressLineNumbers w:val="0"/>
              <w:spacing w:before="0" w:beforeAutospacing="0" w:after="0" w:afterAutospacing="0" w:line="360" w:lineRule="auto"/>
              <w:ind w:left="0" w:right="0" w:firstLine="420" w:firstLineChars="200"/>
              <w:rPr>
                <w:rFonts w:hint="eastAsia" w:hAnsi="宋体" w:eastAsia="宋体"/>
                <w:bCs/>
                <w:lang w:eastAsia="zh-CN"/>
              </w:rPr>
            </w:pPr>
            <w:r>
              <w:rPr>
                <w:rFonts w:hint="eastAsia" w:hAnsi="宋体"/>
                <w:bCs/>
                <w:lang w:val="en-US" w:eastAsia="zh-CN"/>
              </w:rPr>
              <w:t>简述</w:t>
            </w:r>
            <w:r>
              <w:rPr>
                <w:rFonts w:hint="eastAsia" w:hAnsi="宋体"/>
                <w:bCs/>
                <w:lang w:eastAsia="zh-CN"/>
              </w:rPr>
              <w:t>学前教育与小学教育的差异。</w:t>
            </w:r>
          </w:p>
        </w:tc>
        <w:tc>
          <w:tcPr>
            <w:tcW w:w="1366" w:type="dxa"/>
            <w:tcBorders>
              <w:tl2br w:val="nil"/>
              <w:tr2bl w:val="nil"/>
            </w:tcBorders>
            <w:vAlign w:val="center"/>
          </w:tcPr>
          <w:p w14:paraId="5196791E">
            <w:pPr>
              <w:keepNext w:val="0"/>
              <w:keepLines w:val="0"/>
              <w:suppressLineNumbers w:val="0"/>
              <w:spacing w:before="0" w:beforeAutospacing="0" w:after="0" w:afterAutospacing="0" w:line="360" w:lineRule="auto"/>
              <w:ind w:left="0" w:right="0"/>
              <w:jc w:val="left"/>
              <w:rPr>
                <w:rFonts w:hint="eastAsia" w:ascii="Times New Roman" w:hAnsi="Times New Roman"/>
                <w:b/>
                <w:szCs w:val="24"/>
              </w:rPr>
            </w:pPr>
            <w:r>
              <w:rPr>
                <w:rFonts w:hint="eastAsia" w:ascii="Times New Roman" w:hAnsi="Times New Roman"/>
                <w:b w:val="0"/>
                <w:bCs/>
                <w:szCs w:val="24"/>
              </w:rPr>
              <w:t>通过课后练习，使学生巩固所学新知识</w:t>
            </w:r>
          </w:p>
        </w:tc>
      </w:tr>
      <w:tr w14:paraId="04E4936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58A9802C">
            <w:pPr>
              <w:keepNext w:val="0"/>
              <w:keepLines w:val="0"/>
              <w:suppressLineNumbers w:val="0"/>
              <w:spacing w:before="0" w:beforeAutospacing="0" w:after="0" w:afterAutospacing="0" w:line="360" w:lineRule="auto"/>
              <w:ind w:left="0" w:right="0"/>
              <w:jc w:val="center"/>
              <w:rPr>
                <w:rFonts w:hint="eastAsia" w:ascii="宋体" w:hAnsi="宋体" w:eastAsia="宋体" w:cs="宋体"/>
                <w:b/>
                <w:bCs w:val="0"/>
                <w:sz w:val="24"/>
                <w:szCs w:val="24"/>
                <w:lang w:eastAsia="zh-CN"/>
              </w:rPr>
            </w:pPr>
            <w:r>
              <w:rPr>
                <w:rFonts w:hint="eastAsia" w:ascii="宋体" w:hAnsi="宋体" w:eastAsia="宋体" w:cs="宋体"/>
                <w:b/>
                <w:bCs w:val="0"/>
                <w:sz w:val="24"/>
                <w:szCs w:val="24"/>
                <w:lang w:eastAsia="zh-CN"/>
              </w:rPr>
              <w:t>知识讲解</w:t>
            </w:r>
          </w:p>
          <w:p w14:paraId="56B285BA">
            <w:pPr>
              <w:keepNext w:val="0"/>
              <w:keepLines w:val="0"/>
              <w:suppressLineNumbers w:val="0"/>
              <w:spacing w:before="0" w:beforeAutospacing="0" w:after="0" w:afterAutospacing="0" w:line="360" w:lineRule="auto"/>
              <w:ind w:left="0" w:right="0" w:hanging="8"/>
              <w:jc w:val="center"/>
              <w:rPr>
                <w:rFonts w:hint="eastAsia" w:ascii="宋体" w:hAnsi="宋体" w:eastAsia="宋体" w:cs="宋体"/>
                <w:b/>
                <w:bCs w:val="0"/>
                <w:sz w:val="24"/>
                <w:szCs w:val="24"/>
              </w:rPr>
            </w:pPr>
            <w:r>
              <w:rPr>
                <w:rFonts w:hint="eastAsia" w:ascii="宋体" w:hAnsi="宋体" w:eastAsia="宋体" w:cs="宋体"/>
                <w:b/>
                <w:bCs w:val="0"/>
                <w:sz w:val="24"/>
                <w:szCs w:val="24"/>
              </w:rPr>
              <w:t>（40min）</w:t>
            </w:r>
          </w:p>
        </w:tc>
        <w:tc>
          <w:tcPr>
            <w:tcW w:w="5807" w:type="dxa"/>
            <w:tcBorders>
              <w:tl2br w:val="nil"/>
              <w:tr2bl w:val="nil"/>
            </w:tcBorders>
            <w:vAlign w:val="center"/>
          </w:tcPr>
          <w:p w14:paraId="7C1DB4C7">
            <w:pPr>
              <w:keepNext w:val="0"/>
              <w:keepLines w:val="0"/>
              <w:widowControl w:val="0"/>
              <w:suppressLineNumbers w:val="0"/>
              <w:spacing w:before="0" w:beforeAutospacing="0" w:after="0" w:afterAutospacing="0" w:line="360" w:lineRule="auto"/>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展示幼小衔接工作的意义（</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14:paraId="7220B44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二、学前教育机构与小学衔接的现状及存在问题</w:t>
            </w:r>
          </w:p>
          <w:p w14:paraId="40DF184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问题情境：6 岁的乐乐终于成了一名小学生，妈妈很是高兴。但是没多久，妈妈的烦恼来了。每天回家后，乐乐总是很不高兴，而且老是嘟囔着“上学真没意思，玩的时间太少了，还是幼儿园好”。更愁人的是，乐乐总是不记得写作业，每次都是在妈妈的提醒下才不情愿地拿出书包。写作业的时候很不专心，其实作业并不多，但每次乐乐都是磨磨蹭蹭，总是快到晚上 10 点的时候才勉强写完。</w:t>
            </w:r>
          </w:p>
          <w:p w14:paraId="6C3B7D9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6 岁的乐乐出现的状况并不是个别孩子的表现，而是一种普遍现象。我国在 20 世纪90 年代曾对幼小两个教育阶段的衔接进行了系统研究，随后幼儿园和小学也对幼小衔接的具体实施进行了相应的实践探讨。研究主要集中在幼儿园与小学课程的衔接研究，幼小衔接策略研究，幼小衔接与儿方面。原国家教委与联合国儿童基金会合作的科研项目“幼儿园与小学衔接”历时 5 年，于 1995 年完成，并于同年发文向全国推广此项研究成果，但是时至今日，幼小衔接仍然是一个没有得到很好解决的问题，孩子不能很好适应小学生活、学习的现象有增无减。</w:t>
            </w:r>
          </w:p>
          <w:p w14:paraId="73CA800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幼儿到了小学后，出现经常生病、上课注意力不集中、握笔姿势错误率高、生活不能自理、学习成绩跟不上等现象，造成一些孩子的心理压力过大，甚至厌学。</w:t>
            </w:r>
          </w:p>
          <w:p w14:paraId="53760ED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（一）把幼小衔接当成两个教育阶段的过渡，忽略衔接的连续性</w:t>
            </w:r>
          </w:p>
          <w:p w14:paraId="2484005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小衔接中一个较突出的问题就是只注意阶段性，而忽视连续性。多年来，幼教和小教“两张皮”现象严重，小学教师不了解幼儿教材教法，幼儿教师不了解小学教学大纲和教材。幼小衔接中，学前儿童和小学生是有不同阶段特点的，一个孩子绝不可能在进入小学的那一天，突然完全失去幼儿的特点，发展的连续性规律决定了他仍然带有幼儿特点。如果这时小学老师完全按小学特点要求初入学的儿童，那么势必造成儿童严重不适应新的生活。《纲要》中明确指出“幼儿园教育是基础教育的重要组成部分，是我国学校教育和终身教育的奠基阶段。城乡各类幼儿园都应从实际出发，因地制宜地实施素质教育，为幼儿一生的发展打好基础”。因此，不应把幼小衔接简单地认为是两个教育阶段的过渡，应当看到让孩子顺利实现从幼儿园到小学的过渡只是幼儿园教育的短程目标，儿童的长远发展、全面素质的提高才是长远规划。</w:t>
            </w:r>
          </w:p>
          <w:p w14:paraId="3CE8360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（二）顺应家长的要求，幼儿教育小学化，重“智”的衔接</w:t>
            </w:r>
          </w:p>
          <w:p w14:paraId="3729366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园小学化是幼小衔接工作中的一个误区，是指提前用小学的教育方式对待幼儿。表现为两种情况：一种是提前让幼儿学习小学的教材，如提前学习汉语拼音、书写汉字等；另一种是教学的组织形式和方法小学化，如教师长时间用言语方式教学。童发展研究以及我国对国外幼小衔接的相关研究等几个家长是孩子的第一任教师，也是终身教师。幼小衔接在很大程度上要有家长的参与才能很好地完成。然而毋庸讳言，家长有不少观念还比较陈旧。他们重智育轻德育，重知识积累轻身心发展，重视技能技巧的训练而忽视幼儿的全面发展。有些幼儿园为顺应一些家长的要求，安排的课程内容违背了幼儿身心发展的特点。在体、智、德、美四育中，重视“智”的衔接，忽视体、德、美的衔接，特别是忽视社会适应能力的衔接。在智育中，重视知识，特别是数学、语文知识的衔接，忽视学习兴趣、学习能力、学习习惯的衔接和生活经验的积累。这违背了教学规律，阻碍了儿童身心健康发展。</w:t>
            </w:r>
          </w:p>
          <w:p w14:paraId="3B3FD63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小衔接中的小学化，所导致的后果往往是严重的。首先，这会影响幼儿的健康成长。因为片面的技能的衔接，忽视的是孩子的学习能力、思维能力的培养，使得孩子缺乏发展的后劲，而潜能透支又使孩子过早地体验到学习的压力，导致兴趣缺失，同时也失去了童年生活和成长的快乐与和谐。其次，这种顾首不顾尾的衔接也影响到幼儿入小学后的学习。最后，这也误导了社会民众对儿童教育的正确认识。</w:t>
            </w:r>
          </w:p>
          <w:p w14:paraId="509B5EB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（三）幼儿园、小学、家长缺乏沟通，衔接出现断层</w:t>
            </w:r>
          </w:p>
          <w:p w14:paraId="4778940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目前，我国的幼小衔接工作主要在幼儿园和小学一年级之间进行，学校、幼儿园通过教育实践工作也取得了一些成绩，但大部分都是各做各的，学校、幼儿园缺乏交流，教育经验没有实现共享。同时，幼儿园、小学与家长更是缺乏沟通与交流。孩子的家长对自己孩子的教育过于依赖学校的老师，认为孩子的教育问题只是老师的责任。幼儿园将幼小衔接作为一项重要的工作来抓，积极开展幼儿入学前的准备工作，而小学却被动地等待幼儿园靠上来，形成衔接上的“一边倒”。有的幼儿园与小学都积极开展丰富多彩的衔接活动，但在实际研讨过程中，由于理念差异而产生分歧，双方相持不下。这些都明显有悖于孩子身心发展的客观规律，不利于幼小衔接工作的顺利进行。事实证明，多方沟通，双向准备是解决幼小衔接问题的必由之路。</w:t>
            </w:r>
          </w:p>
          <w:p w14:paraId="7807458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（四）幼小衔接中的师资力量薄弱</w:t>
            </w:r>
          </w:p>
          <w:p w14:paraId="5E5FDD6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大多数幼儿园缺少既熟悉幼儿园教育特点又了解小学教育规律的教师，而小学低年级教师对幼儿心理学、幼儿教育学也知之甚少。幼儿园教师与小学教师对彼此的教学大纲、教学活动、工作方法等不了解；幼儿对小学的学校环境和小学生角色感到陌生，对幼儿园环境、生活及教师有较深的感情。这对幼儿园教育阶段向小学教育阶段过渡是很不利的，同时也会影响儿童身心的健康发展。</w:t>
            </w:r>
          </w:p>
          <w:p w14:paraId="08F326E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三、幼小衔接的意义</w:t>
            </w:r>
          </w:p>
          <w:p w14:paraId="54910FE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学前儿童的身心发展是一个不断矛盾统一、变化发展的过程。幼儿园和小学虽然同属于基础教育，但这两个阶段在教育任务、内容、形式、方法、作息制度及常规管理方面都有较大差异。有很多儿童进入小学后出现适应性问题，具体表现为：身体方面的睡眠不足、身体疲劳、食欲不振、体重下降等现象；心理方面的精神负担重、心理压力大、情绪低落、自信心不足、学习兴趣降低等现象；社会性方面的人际交往不良、人际关系</w:t>
            </w:r>
          </w:p>
          <w:p w14:paraId="3EEB357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紧张等现象，有的学生甚至出现了怕学、厌学的情绪。这些问题如不能很好解决，不仅会严重影响初入学儿童的身心的健康发展，还会对其今后的学习和生活产生消极的影响。</w:t>
            </w:r>
          </w:p>
          <w:p w14:paraId="0715EC8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儿童从幼儿园到小学需要一个渐进的、过渡适应的过程。做好幼小衔接工作能使儿童更快地适应新生活，减少因两种教育的差异给儿童身心发展带来的负面影响，为其终身发展打好基础。《纲要》也明确指出：幼儿园应与家庭、社区密切合作，与小学相互衔接，综合利用各种教育资源，共同为幼儿的发展创造良好的条件。因此研究幼小衔接问题，做好衔接工作是十分重要的。</w:t>
            </w:r>
          </w:p>
          <w:p w14:paraId="29D27186">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1E6DC822">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幼小衔接工作的意义（二）的基本理论知</w:t>
            </w:r>
            <w:r>
              <w:rPr>
                <w:rFonts w:hint="eastAsia" w:ascii="Times New Roman" w:hAnsi="Times New Roman"/>
                <w:b/>
                <w:szCs w:val="24"/>
              </w:rPr>
              <w:t>识。</w:t>
            </w:r>
          </w:p>
        </w:tc>
      </w:tr>
      <w:tr w14:paraId="504E10D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ADDBF04">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b/>
                <w:bCs w:val="0"/>
                <w:kern w:val="2"/>
                <w:sz w:val="24"/>
                <w:szCs w:val="24"/>
              </w:rPr>
            </w:pPr>
            <w:r>
              <w:rPr>
                <w:rFonts w:hint="eastAsia" w:ascii="宋体" w:hAnsi="宋体" w:eastAsia="宋体" w:cs="宋体"/>
                <w:b/>
                <w:bCs w:val="0"/>
                <w:kern w:val="2"/>
                <w:sz w:val="24"/>
                <w:szCs w:val="24"/>
                <w:lang w:val="en-US" w:eastAsia="zh-CN" w:bidi="ar"/>
              </w:rPr>
              <w:t>课堂小结</w:t>
            </w:r>
          </w:p>
          <w:p w14:paraId="56506092">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kern w:val="2"/>
                <w:sz w:val="24"/>
                <w:szCs w:val="24"/>
                <w:lang w:val="en-US" w:eastAsia="zh-CN" w:bidi="ar-SA"/>
              </w:rPr>
            </w:pPr>
            <w:r>
              <w:rPr>
                <w:rFonts w:hint="eastAsia" w:ascii="宋体" w:hAnsi="宋体" w:eastAsia="宋体" w:cs="宋体"/>
                <w:b/>
                <w:bCs w:val="0"/>
                <w:kern w:val="2"/>
                <w:sz w:val="24"/>
                <w:szCs w:val="24"/>
                <w:lang w:val="en-US" w:eastAsia="zh-CN" w:bidi="ar"/>
              </w:rPr>
              <w:t>（3min）</w:t>
            </w:r>
          </w:p>
        </w:tc>
        <w:tc>
          <w:tcPr>
            <w:tcW w:w="5807" w:type="dxa"/>
            <w:tcBorders>
              <w:tl2br w:val="nil"/>
              <w:tr2bl w:val="nil"/>
            </w:tcBorders>
            <w:vAlign w:val="center"/>
          </w:tcPr>
          <w:p w14:paraId="169FA457">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5187E127">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幼小衔接工作的意义</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二</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，让学生知道多方沟通，双向准备是解决幼小衔接问题的必由之路。</w:t>
            </w:r>
          </w:p>
        </w:tc>
        <w:tc>
          <w:tcPr>
            <w:tcW w:w="1366" w:type="dxa"/>
            <w:tcBorders>
              <w:tl2br w:val="nil"/>
              <w:tr2bl w:val="nil"/>
            </w:tcBorders>
            <w:vAlign w:val="center"/>
          </w:tcPr>
          <w:p w14:paraId="2F62175F">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30CA332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D71FF72">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宋体" w:hAnsi="宋体" w:eastAsia="宋体" w:cs="宋体"/>
                <w:b/>
                <w:bCs w:val="0"/>
                <w:kern w:val="2"/>
                <w:sz w:val="24"/>
                <w:szCs w:val="24"/>
                <w:lang w:val="en-US" w:eastAsia="zh-CN" w:bidi="ar-SA"/>
              </w:rPr>
            </w:pPr>
            <w:r>
              <w:rPr>
                <w:rFonts w:hint="eastAsia" w:ascii="宋体" w:hAnsi="宋体" w:eastAsia="宋体" w:cs="宋体"/>
                <w:b/>
                <w:bCs w:val="0"/>
                <w:kern w:val="2"/>
                <w:sz w:val="24"/>
                <w:szCs w:val="24"/>
                <w:lang w:val="en-US" w:eastAsia="zh-CN" w:bidi="ar"/>
              </w:rPr>
              <w:t>作业布置（2min）</w:t>
            </w:r>
          </w:p>
        </w:tc>
        <w:tc>
          <w:tcPr>
            <w:tcW w:w="5807" w:type="dxa"/>
            <w:tcBorders>
              <w:tl2br w:val="nil"/>
              <w:tr2bl w:val="nil"/>
            </w:tcBorders>
            <w:vAlign w:val="center"/>
          </w:tcPr>
          <w:p w14:paraId="211FF726">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1FC5A523">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简述幼小衔接的意义。</w:t>
            </w:r>
          </w:p>
        </w:tc>
        <w:tc>
          <w:tcPr>
            <w:tcW w:w="1366" w:type="dxa"/>
            <w:tcBorders>
              <w:tl2br w:val="nil"/>
              <w:tr2bl w:val="nil"/>
            </w:tcBorders>
            <w:vAlign w:val="center"/>
          </w:tcPr>
          <w:p w14:paraId="6F1F7B77">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02FF80E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EF62F87">
            <w:pPr>
              <w:keepNext w:val="0"/>
              <w:keepLines w:val="0"/>
              <w:suppressLineNumbers w:val="0"/>
              <w:spacing w:before="0" w:beforeAutospacing="0" w:after="0" w:afterAutospacing="0" w:line="360" w:lineRule="auto"/>
              <w:ind w:left="0" w:right="0"/>
              <w:jc w:val="center"/>
              <w:rPr>
                <w:rFonts w:hint="eastAsia" w:ascii="宋体" w:hAnsi="宋体" w:eastAsia="宋体" w:cs="宋体"/>
                <w:b/>
                <w:bCs w:val="0"/>
                <w:sz w:val="24"/>
                <w:szCs w:val="24"/>
              </w:rPr>
            </w:pPr>
            <w:r>
              <w:rPr>
                <w:rFonts w:hint="eastAsia" w:ascii="宋体" w:hAnsi="宋体" w:eastAsia="宋体" w:cs="宋体"/>
                <w:b/>
                <w:bCs w:val="0"/>
                <w:sz w:val="24"/>
                <w:szCs w:val="24"/>
                <w:lang w:eastAsia="zh-CN"/>
              </w:rPr>
              <w:t>知识讲解</w:t>
            </w:r>
            <w:r>
              <w:rPr>
                <w:rFonts w:hint="eastAsia" w:ascii="宋体" w:hAnsi="宋体" w:eastAsia="宋体" w:cs="宋体"/>
                <w:b/>
                <w:bCs w:val="0"/>
                <w:sz w:val="24"/>
                <w:szCs w:val="24"/>
              </w:rPr>
              <w:t>（45min）</w:t>
            </w:r>
          </w:p>
        </w:tc>
        <w:tc>
          <w:tcPr>
            <w:tcW w:w="5807" w:type="dxa"/>
            <w:tcBorders>
              <w:tl2br w:val="nil"/>
              <w:tr2bl w:val="nil"/>
            </w:tcBorders>
            <w:vAlign w:val="center"/>
          </w:tcPr>
          <w:p w14:paraId="189CD95F">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展示幼儿园方面的幼小衔接工作（一</w:t>
            </w:r>
            <w:r>
              <w:rPr>
                <w:rFonts w:hint="eastAsia" w:ascii="宋体" w:hAnsi="宋体" w:cs="宋体"/>
                <w:b w:val="0"/>
                <w:bCs/>
                <w:color w:val="C00000"/>
                <w:kern w:val="2"/>
                <w:sz w:val="21"/>
                <w:szCs w:val="21"/>
                <w:lang w:val="en-US" w:eastAsia="zh-CN" w:bidi="ar"/>
              </w:rPr>
              <w:t>）</w:t>
            </w:r>
          </w:p>
          <w:p w14:paraId="21997C2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一、幼儿园实施幼小衔接工作的指导思想</w:t>
            </w:r>
          </w:p>
          <w:p w14:paraId="4747AD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（一）长期性而非突击性</w:t>
            </w:r>
          </w:p>
          <w:p w14:paraId="715F72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幼儿园教育是终身教育的一个重要组成部分，要为儿童的终身发展打好基础。因此，不应当把幼小衔接工作仅仅视为两个教育阶段的过渡问题，而应把它置于终身教育的大背景下去考虑。应当看到，让幼儿顺利地进入小学只是幼儿园教育的近期目标而已，它是实现幼儿园教育长远目标的一个组成部分。也就是说，要以儿童的长远发展为目标，对儿童进行全面的素质教育。对幼儿园来讲，在时间上，要把幼小衔接工作贯穿于幼儿园教育的各个阶段而不仅仅是大班后期；在内容上，要涉及幼儿发展的各个方面而不仅仅是知识准备；在人员上，要包括幼儿园全体人员、家长及有关成人而不仅仅是大班老师。</w:t>
            </w:r>
          </w:p>
          <w:p w14:paraId="263A74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对小学来讲，也不能仅仅把衔接工作看成是幼儿园的事情，而应当遵循素质教育的精神，改革不适合儿童发展的教育形式、方法等。</w:t>
            </w:r>
          </w:p>
          <w:p w14:paraId="2F3814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（二）整体性而非单项性</w:t>
            </w:r>
          </w:p>
          <w:p w14:paraId="32FC7C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幼小衔接是全面素质教育的重要组成部分，应当从幼儿体、智、德、美各方面全面进行，不应仅偏重某一方面。在幼小衔接中，偏重“智”的倾向比较严重。有的教师一谈到衔接，马上就想到让幼儿认汉字、学拼音、做算术题，而对体、智、德、美各方面的全面准备重视不够。儿童入学后，适应不良的主要原因是对新环境所需的身体素质、心理素质、独立自理能力等方面准备不足。幼儿入学适应困难不仅仅是在“智”的方面，更多的是由于身体、态度、习惯、意志、人际关系、交往能力、独立自理能力等方面的准备不足造成的。要做好幼小衔接工作，必须促进幼儿体、智、德、美的全面发展。在全面发展教育过程中，培养他们入学所必需的各种基本素质。</w:t>
            </w:r>
          </w:p>
          <w:p w14:paraId="71D2D36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衔接中仅偏重某一方面是错误的，而在某一方面中又偏重某些因素则更片面了。有的教师把智育理解为仅是让幼儿记忆知识、掌握技能，对智育的其他因素，如智育核心思维能力的培养则重视不够，对幼儿的学习主动性、兴趣、习惯等与智力发展密切相关，也属于智育范畴的非智力因素的培养则更是忽视。这种片面的衔接教育对于幼儿入学后尽快地适应小学的学习与生活是非常有害的。</w:t>
            </w:r>
          </w:p>
          <w:p w14:paraId="2E4795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（三）培养入学的适应性而非小学化</w:t>
            </w:r>
          </w:p>
          <w:p w14:paraId="2E85FEA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幼小衔接工作中的另一误区就是小学化倾向严重。有些教师认为，要与小学搞好衔接工作就要提前用小学的教育方式对待幼儿，让幼儿园像小学。主要表现在两个方面：一是提前让幼儿学习小学的教材，如提前学习汉语拼音和书写汉字，提前学习小学的数学知识等。教学内容背离幼儿的年龄特点，幼儿不能或不甚理解，学习中只能较多地使用机械记忆和死记硬背的方法，体会不到学习的乐趣。因此，压制了儿童的自然发展。二是用小学教育的组织形式与方法对待幼儿园的幼儿。例如，用小学式的上课取代幼儿的基本活动——游戏；教师长时间用言语教授的方式进行知识灌输，追求立竿见影短期学习效果；等等。这些做法，严重违背了幼儿的身心发展特点，是造成儿童怕学、厌学、养成不良学习习惯的重要原因。</w:t>
            </w:r>
          </w:p>
          <w:p w14:paraId="37A5B1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6F255674">
            <w:pPr>
              <w:keepNext w:val="0"/>
              <w:keepLines w:val="0"/>
              <w:suppressLineNumbers w:val="0"/>
              <w:spacing w:before="0" w:beforeAutospacing="0" w:after="0" w:afterAutospacing="0" w:line="360" w:lineRule="auto"/>
              <w:ind w:left="0" w:right="0"/>
              <w:jc w:val="left"/>
              <w:rPr>
                <w:rFonts w:hint="default" w:ascii="Times New Roman" w:hAnsi="Times New Roman"/>
                <w:szCs w:val="24"/>
              </w:rPr>
            </w:pPr>
            <w:r>
              <w:rPr>
                <w:rFonts w:hint="eastAsia" w:ascii="Times New Roman" w:hAnsi="Times New Roman"/>
                <w:b/>
                <w:szCs w:val="24"/>
              </w:rPr>
              <w:t>教师通过</w:t>
            </w:r>
            <w:r>
              <w:rPr>
                <w:rFonts w:hint="eastAsia" w:ascii="Times New Roman" w:hAnsi="Times New Roman"/>
                <w:b/>
                <w:szCs w:val="24"/>
                <w:lang w:eastAsia="zh-CN"/>
              </w:rPr>
              <w:t>幼儿园方面的幼小衔接工作（一）展示</w:t>
            </w:r>
            <w:r>
              <w:rPr>
                <w:rFonts w:hint="eastAsia" w:ascii="Times New Roman" w:hAnsi="Times New Roman"/>
                <w:b/>
                <w:szCs w:val="24"/>
              </w:rPr>
              <w:t>，</w:t>
            </w:r>
            <w:r>
              <w:rPr>
                <w:rFonts w:hint="eastAsia" w:ascii="Times New Roman" w:hAnsi="Times New Roman"/>
                <w:b/>
                <w:szCs w:val="24"/>
                <w:lang w:eastAsia="zh-CN"/>
              </w:rPr>
              <w:t>让</w:t>
            </w:r>
            <w:r>
              <w:rPr>
                <w:rFonts w:hint="eastAsia" w:ascii="Times New Roman" w:hAnsi="Times New Roman"/>
                <w:b/>
                <w:szCs w:val="24"/>
              </w:rPr>
              <w:t>学生了解</w:t>
            </w:r>
            <w:r>
              <w:rPr>
                <w:rFonts w:hint="eastAsia" w:ascii="Times New Roman" w:hAnsi="Times New Roman"/>
                <w:b/>
                <w:szCs w:val="24"/>
                <w:lang w:eastAsia="zh-CN"/>
              </w:rPr>
              <w:t>幼儿园方面的幼小衔接工作</w:t>
            </w:r>
            <w:r>
              <w:rPr>
                <w:rFonts w:hint="eastAsia" w:ascii="Times New Roman" w:hAnsi="Times New Roman"/>
                <w:b/>
                <w:szCs w:val="24"/>
              </w:rPr>
              <w:t>（一）的基本理论知识。</w:t>
            </w:r>
          </w:p>
        </w:tc>
      </w:tr>
      <w:tr w14:paraId="4AB7FCD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36DE3D3">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b/>
                <w:bCs w:val="0"/>
                <w:kern w:val="2"/>
                <w:sz w:val="24"/>
                <w:szCs w:val="24"/>
              </w:rPr>
            </w:pPr>
            <w:r>
              <w:rPr>
                <w:rFonts w:hint="eastAsia" w:ascii="宋体" w:hAnsi="宋体" w:eastAsia="宋体" w:cs="宋体"/>
                <w:b/>
                <w:bCs w:val="0"/>
                <w:kern w:val="2"/>
                <w:sz w:val="24"/>
                <w:szCs w:val="24"/>
                <w:lang w:val="en-US" w:eastAsia="zh-CN" w:bidi="ar"/>
              </w:rPr>
              <w:t>课堂小结</w:t>
            </w:r>
          </w:p>
          <w:p w14:paraId="1A1D39CC">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kern w:val="2"/>
                <w:sz w:val="24"/>
                <w:szCs w:val="24"/>
                <w:lang w:val="en-US" w:eastAsia="zh-CN" w:bidi="ar-SA"/>
              </w:rPr>
            </w:pPr>
            <w:r>
              <w:rPr>
                <w:rFonts w:hint="eastAsia" w:ascii="宋体" w:hAnsi="宋体" w:eastAsia="宋体" w:cs="宋体"/>
                <w:b/>
                <w:bCs w:val="0"/>
                <w:kern w:val="2"/>
                <w:sz w:val="24"/>
                <w:szCs w:val="24"/>
                <w:lang w:val="en-US" w:eastAsia="zh-CN" w:bidi="ar"/>
              </w:rPr>
              <w:t>（3min）</w:t>
            </w:r>
          </w:p>
        </w:tc>
        <w:tc>
          <w:tcPr>
            <w:tcW w:w="5807" w:type="dxa"/>
            <w:tcBorders>
              <w:tl2br w:val="nil"/>
              <w:tr2bl w:val="nil"/>
            </w:tcBorders>
            <w:vAlign w:val="center"/>
          </w:tcPr>
          <w:p w14:paraId="764409AA">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196ED123">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幼儿园方面的幼小衔接工作</w:t>
            </w:r>
            <w:r>
              <w:rPr>
                <w:rFonts w:hint="eastAsia" w:ascii="宋体" w:hAnsi="宋体" w:eastAsia="宋体" w:cs="宋体"/>
                <w:b/>
                <w:bCs w:val="0"/>
                <w:kern w:val="0"/>
                <w:sz w:val="21"/>
                <w:szCs w:val="21"/>
                <w:lang w:val="en-US" w:eastAsia="zh-CN" w:bidi="ar"/>
              </w:rPr>
              <w:t>（一）</w:t>
            </w:r>
            <w:r>
              <w:rPr>
                <w:rFonts w:hint="eastAsia" w:ascii="宋体" w:hAnsi="宋体" w:cs="宋体"/>
                <w:b/>
                <w:bCs w:val="0"/>
                <w:kern w:val="0"/>
                <w:sz w:val="21"/>
                <w:szCs w:val="21"/>
                <w:lang w:val="en-US" w:eastAsia="zh-CN" w:bidi="ar"/>
              </w:rPr>
              <w:t>，教师长时间用言语教授的方式进行知识灌输，追求立竿见影短期学习效果。</w:t>
            </w:r>
          </w:p>
        </w:tc>
        <w:tc>
          <w:tcPr>
            <w:tcW w:w="1366" w:type="dxa"/>
            <w:tcBorders>
              <w:tl2br w:val="nil"/>
              <w:tr2bl w:val="nil"/>
            </w:tcBorders>
            <w:vAlign w:val="center"/>
          </w:tcPr>
          <w:p w14:paraId="6A1A83E3">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5E152D84">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81DB0DC">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kern w:val="2"/>
                <w:sz w:val="24"/>
                <w:szCs w:val="24"/>
                <w:lang w:val="en-US" w:eastAsia="zh-CN" w:bidi="ar-SA"/>
              </w:rPr>
            </w:pPr>
            <w:r>
              <w:rPr>
                <w:rFonts w:hint="eastAsia" w:ascii="宋体" w:hAnsi="宋体" w:eastAsia="宋体" w:cs="宋体"/>
                <w:b/>
                <w:bCs w:val="0"/>
                <w:kern w:val="2"/>
                <w:sz w:val="24"/>
                <w:szCs w:val="24"/>
                <w:lang w:val="en-US" w:eastAsia="zh-CN" w:bidi="ar"/>
              </w:rPr>
              <w:t>作业布置（2min）</w:t>
            </w:r>
          </w:p>
        </w:tc>
        <w:tc>
          <w:tcPr>
            <w:tcW w:w="5807" w:type="dxa"/>
            <w:tcBorders>
              <w:tl2br w:val="nil"/>
              <w:tr2bl w:val="nil"/>
            </w:tcBorders>
            <w:vAlign w:val="center"/>
          </w:tcPr>
          <w:p w14:paraId="2BD5591D">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14:paraId="5D13C4C6">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cs="宋体"/>
                <w:b/>
                <w:bCs w:val="0"/>
                <w:kern w:val="2"/>
                <w:sz w:val="21"/>
                <w:szCs w:val="21"/>
                <w:lang w:val="en-US" w:eastAsia="zh-CN" w:bidi="ar"/>
              </w:rPr>
              <w:t>简述培养入学的适应性而非小学化</w:t>
            </w:r>
            <w:r>
              <w:rPr>
                <w:rFonts w:hint="eastAsia" w:ascii="宋体" w:hAnsi="宋体" w:eastAsia="宋体" w:cs="宋体"/>
                <w:b/>
                <w:bCs w:val="0"/>
                <w:kern w:val="2"/>
                <w:sz w:val="21"/>
                <w:szCs w:val="21"/>
                <w:lang w:val="en-US" w:eastAsia="zh-CN" w:bidi="ar"/>
              </w:rPr>
              <w:t>。</w:t>
            </w:r>
          </w:p>
        </w:tc>
        <w:tc>
          <w:tcPr>
            <w:tcW w:w="1366" w:type="dxa"/>
            <w:tcBorders>
              <w:tl2br w:val="nil"/>
              <w:tr2bl w:val="nil"/>
            </w:tcBorders>
            <w:vAlign w:val="center"/>
          </w:tcPr>
          <w:p w14:paraId="2F544224">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通过课后练习，使学生巩固所学新知识</w:t>
            </w:r>
          </w:p>
        </w:tc>
      </w:tr>
      <w:tr w14:paraId="23CE4AB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55EB3A63">
            <w:pPr>
              <w:keepNext w:val="0"/>
              <w:keepLines w:val="0"/>
              <w:suppressLineNumbers w:val="0"/>
              <w:spacing w:before="0" w:beforeAutospacing="0" w:after="0" w:afterAutospacing="0" w:line="360" w:lineRule="auto"/>
              <w:ind w:left="0" w:right="0"/>
              <w:jc w:val="center"/>
              <w:rPr>
                <w:rFonts w:hint="eastAsia" w:ascii="宋体" w:hAnsi="宋体" w:eastAsia="宋体" w:cs="宋体"/>
                <w:b/>
                <w:bCs w:val="0"/>
                <w:sz w:val="24"/>
                <w:szCs w:val="24"/>
                <w:lang w:eastAsia="zh-CN"/>
              </w:rPr>
            </w:pPr>
            <w:r>
              <w:rPr>
                <w:rFonts w:hint="eastAsia" w:ascii="宋体" w:hAnsi="宋体" w:eastAsia="宋体" w:cs="宋体"/>
                <w:b/>
                <w:bCs w:val="0"/>
                <w:sz w:val="24"/>
                <w:szCs w:val="24"/>
                <w:lang w:eastAsia="zh-CN"/>
              </w:rPr>
              <w:t>知识讲解</w:t>
            </w:r>
          </w:p>
          <w:p w14:paraId="22B65296">
            <w:pPr>
              <w:keepNext w:val="0"/>
              <w:keepLines w:val="0"/>
              <w:suppressLineNumbers w:val="0"/>
              <w:spacing w:before="0" w:beforeAutospacing="0" w:after="0" w:afterAutospacing="0" w:line="360" w:lineRule="auto"/>
              <w:ind w:left="0" w:right="0" w:hanging="8"/>
              <w:jc w:val="center"/>
              <w:rPr>
                <w:rFonts w:hint="eastAsia" w:ascii="宋体" w:hAnsi="宋体" w:eastAsia="宋体" w:cs="宋体"/>
                <w:b/>
                <w:bCs w:val="0"/>
                <w:sz w:val="24"/>
                <w:szCs w:val="24"/>
              </w:rPr>
            </w:pPr>
            <w:r>
              <w:rPr>
                <w:rFonts w:hint="eastAsia" w:ascii="宋体" w:hAnsi="宋体" w:eastAsia="宋体" w:cs="宋体"/>
                <w:b/>
                <w:bCs w:val="0"/>
                <w:sz w:val="24"/>
                <w:szCs w:val="24"/>
              </w:rPr>
              <w:t>（40min）</w:t>
            </w:r>
          </w:p>
        </w:tc>
        <w:tc>
          <w:tcPr>
            <w:tcW w:w="5807" w:type="dxa"/>
            <w:tcBorders>
              <w:tl2br w:val="nil"/>
              <w:tr2bl w:val="nil"/>
            </w:tcBorders>
            <w:vAlign w:val="center"/>
          </w:tcPr>
          <w:p w14:paraId="57D62ADF">
            <w:pPr>
              <w:keepNext w:val="0"/>
              <w:keepLines w:val="0"/>
              <w:widowControl w:val="0"/>
              <w:suppressLineNumbers w:val="0"/>
              <w:spacing w:before="0" w:beforeAutospacing="0" w:after="0" w:afterAutospacing="0" w:line="360" w:lineRule="auto"/>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展示幼儿园方面的幼小衔接工作（</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14:paraId="03CE0BB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二、幼小衔接工作的主要内容</w:t>
            </w:r>
          </w:p>
          <w:p w14:paraId="6B927F3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幼小衔接是根据幼儿过渡期的身心特点，从体、智、德、美诸方面，为幼儿入学，也为其长远的发展打下良好基础。在幼儿园的教育阶段可以从以下几个方面入手。</w:t>
            </w:r>
          </w:p>
          <w:p w14:paraId="2D1B389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（一）培养幼儿对小学生活的热爱和向往</w:t>
            </w:r>
          </w:p>
          <w:p w14:paraId="20E0ABC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对小学生活的态度、看法、情绪状态等，与其入学后的适应能力关系很大。因此，幼儿园阶段应注意培养幼儿愿意上学、对小学的生活怀着兴趣和向往、为做一个小学生感到自豪的积极态度，并让幼儿有机会获得对小学生活的积极情感体验。</w:t>
            </w:r>
          </w:p>
          <w:p w14:paraId="5F222E0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我要上小学（主题活动）</w:t>
            </w:r>
          </w:p>
          <w:p w14:paraId="61D8E88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活动参考：</w:t>
            </w:r>
          </w:p>
          <w:p w14:paraId="494A039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日常生活</w:t>
            </w:r>
          </w:p>
          <w:p w14:paraId="3A776A6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背着小书包上幼儿园，初步体验小学生的生活，萌发喜欢上小学的情感。</w:t>
            </w:r>
          </w:p>
          <w:p w14:paraId="7A643AD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参观小学，比较幼儿园和小学不同之处，并记录下来。</w:t>
            </w:r>
          </w:p>
          <w:p w14:paraId="5046939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与周围的小学生交往，与小学生一起上课，体验小学生的生活。</w:t>
            </w:r>
          </w:p>
          <w:p w14:paraId="1596443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环境创设</w:t>
            </w:r>
          </w:p>
          <w:p w14:paraId="49E9AAC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与小学有关的图片展：校园图，教室照片，小学生上课、做操的照片，小学校服等。</w:t>
            </w:r>
          </w:p>
          <w:p w14:paraId="3C54411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制作背上小书包的计划书。</w:t>
            </w:r>
          </w:p>
          <w:p w14:paraId="199EBAB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在教室里布置小学生做作业的区角、整理小书包的区角。</w:t>
            </w:r>
          </w:p>
          <w:p w14:paraId="2B97C83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在走廊里模拟小学生的课堂。</w:t>
            </w:r>
          </w:p>
          <w:p w14:paraId="59304BE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分组制作离园纪念册和许愿星。</w:t>
            </w:r>
          </w:p>
          <w:p w14:paraId="4E6C17A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家园共育</w:t>
            </w:r>
          </w:p>
          <w:p w14:paraId="6C35C3D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向幼儿介绍小学生的生活及行为准则，让幼儿有心理上的准备。</w:t>
            </w:r>
          </w:p>
          <w:p w14:paraId="39C2187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亲子自制纪念品，激发孩子对同伴和幼儿园的留念。</w:t>
            </w:r>
          </w:p>
          <w:p w14:paraId="455F984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为孩子购买一些学习用品：书包、铅笔盒、铅笔、卷笔刀等。</w:t>
            </w:r>
          </w:p>
          <w:p w14:paraId="20E6C19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帮助孩子在家里做一些事情：自己卷铅笔、整理书包、修补图书等，增强幼儿学习的自理能力。</w:t>
            </w:r>
          </w:p>
          <w:p w14:paraId="6C503D2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按时让幼儿睡觉、起床，养成良好的作息时间。</w:t>
            </w:r>
          </w:p>
          <w:p w14:paraId="3ACFCAF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教幼儿学会写一句好听的话和电话号码，为做毕业纪念册作准备。</w:t>
            </w:r>
          </w:p>
          <w:p w14:paraId="061F9CD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 区域活动</w:t>
            </w:r>
          </w:p>
          <w:p w14:paraId="1C89A52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买文具</w:t>
            </w:r>
          </w:p>
          <w:p w14:paraId="2778BA2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材料提供：书包，铅笔盒状的盒子，记录表，摆放不同文具的有文字价格的小盒子。</w:t>
            </w:r>
          </w:p>
          <w:p w14:paraId="61DEDCA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玩法提示：</w:t>
            </w:r>
          </w:p>
          <w:p w14:paraId="4DB3126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（1）根据文具的品种进行分类放入书包和铅笔盒里。</w:t>
            </w:r>
          </w:p>
          <w:p w14:paraId="7DCD2DA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（2）看购物单的要求买相应数量的文具。</w:t>
            </w:r>
          </w:p>
          <w:p w14:paraId="312ED92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一日作息表</w:t>
            </w:r>
          </w:p>
          <w:p w14:paraId="29D14E6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材料提供：大表格，各种数字文字的时间小卡片，不同内容的小图片，圆形饼干盒做的大时钟。</w:t>
            </w:r>
          </w:p>
          <w:p w14:paraId="50EA351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玩法提示：</w:t>
            </w:r>
          </w:p>
          <w:p w14:paraId="3FA28A1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（1）按时间图示排一日时间，并安排具体活动内容。</w:t>
            </w:r>
          </w:p>
          <w:p w14:paraId="0401BE7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（2）按数字时间，同上操作。</w:t>
            </w:r>
          </w:p>
          <w:p w14:paraId="65CE4EC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（3）按文字时间，同上操作。</w:t>
            </w:r>
          </w:p>
          <w:p w14:paraId="75F6E0D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看时钟</w:t>
            </w:r>
          </w:p>
          <w:p w14:paraId="6177C6F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材料提供：月饼盒做成的房子状计时钟，白本子、笔、各种珠子、数字卡片等。</w:t>
            </w:r>
          </w:p>
          <w:p w14:paraId="045425C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玩法提示：</w:t>
            </w:r>
          </w:p>
          <w:p w14:paraId="5ADE1E8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（1）拨时钟用数字卡片编算术题或用珠子算题。</w:t>
            </w:r>
          </w:p>
          <w:p w14:paraId="4BD4753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（2）拨时钟找相应的时间卡片。</w:t>
            </w:r>
          </w:p>
          <w:p w14:paraId="6D6ACF0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自制纪念册</w:t>
            </w:r>
          </w:p>
          <w:p w14:paraId="14FF087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材料提供：画笔、铅画纸、蜡笔、各种颜料，一些辅助材料等。</w:t>
            </w:r>
          </w:p>
          <w:p w14:paraId="7878277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玩法提示：</w:t>
            </w:r>
          </w:p>
          <w:p w14:paraId="2E9314B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（1）用画笔画下幼儿园中有意义的活动。</w:t>
            </w:r>
          </w:p>
          <w:p w14:paraId="1452DC9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（2）邀请同伴签上名字，留下话语。</w:t>
            </w:r>
          </w:p>
          <w:p w14:paraId="7AEFA51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（3）用各种材料装扮纪念册的封面。</w:t>
            </w:r>
          </w:p>
          <w:p w14:paraId="6978459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5. 集体活动</w:t>
            </w:r>
          </w:p>
          <w:p w14:paraId="3C6FD0B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我的小书包</w:t>
            </w:r>
          </w:p>
          <w:p w14:paraId="0D7D9B9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铅笔盒</w:t>
            </w:r>
          </w:p>
          <w:p w14:paraId="256D605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我和书包是朋友</w:t>
            </w:r>
          </w:p>
          <w:p w14:paraId="19B13B8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书包里的朋友</w:t>
            </w:r>
          </w:p>
          <w:p w14:paraId="3A68AF3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找不到眼镜</w:t>
            </w:r>
          </w:p>
          <w:p w14:paraId="09B2661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参观小学</w:t>
            </w:r>
          </w:p>
          <w:p w14:paraId="5407785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不一样的学校</w:t>
            </w:r>
          </w:p>
          <w:p w14:paraId="4950989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小学生行为规则</w:t>
            </w:r>
          </w:p>
          <w:p w14:paraId="6F61B6F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建构游戏——我要上小学</w:t>
            </w:r>
          </w:p>
          <w:p w14:paraId="0B36477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心中的学校</w:t>
            </w:r>
          </w:p>
          <w:p w14:paraId="21A7E72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上小学了</w:t>
            </w:r>
          </w:p>
          <w:p w14:paraId="3F8C43F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搭建小学</w:t>
            </w:r>
          </w:p>
          <w:p w14:paraId="0EA7F50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（二）培养幼儿对小学生活的适应性</w:t>
            </w:r>
          </w:p>
          <w:p w14:paraId="1BEF2E0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入学后，是否适应小学的新环境，是否适应新的人际关系，对其身心健康影响很大。有一种认识是，幼儿只要提前认一些字，学一点拼音、算术等就没有问题了，这是十分片面的。培养幼儿的社会适应性，特别是主动性、独立性、人际交往能力等，不仅关系着幼儿入学后的生活质量，也关系着他们在小学的学习质量，是幼小衔接的重要内容。</w:t>
            </w:r>
          </w:p>
          <w:p w14:paraId="49BCCA2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培养主动性</w:t>
            </w:r>
          </w:p>
          <w:p w14:paraId="3A481BE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培养主动性就是要在幼儿园教育中培养幼儿的自信心、对周围的人和事物的积极态度，激发幼儿对活动的参与欲望和兴趣，给他们提供自己选择、自己计划、自己决定的机会和条件，鼓励他们去探索、去尝试，并使他们尽量获得成功的体验。研究证明，富于主动性的幼儿思维活跃，做事有信心，能主动与人交往，他们入学后能比较快地适应小学新环境，学习成绩也较好。</w:t>
            </w:r>
          </w:p>
          <w:p w14:paraId="0410A3D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培养独立性</w:t>
            </w:r>
          </w:p>
          <w:p w14:paraId="5AEA225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小学生课间和课余时间由自己支配，生活需要自理，这就要求他们有较强的独立生活能力。在幼儿园，要注意培养幼儿的时间观念，增强幼儿的独立意识，让幼儿知道什么时候做什么事情，并自觉去做，培养幼儿自理、自觉的能力，逐渐减少成人的直接照顾。有很多儿童上小学后的第一年，家长反映孩子回家后不会主动学习，老师布置的作业也经常忘记，如果家长不陪着做，很多孩子不能完成作业，这是独立性不够的表现。</w:t>
            </w:r>
          </w:p>
          <w:p w14:paraId="3834D50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发展人际交往能力</w:t>
            </w:r>
          </w:p>
          <w:p w14:paraId="3AC6142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人际交往能力的重要性表现在入学后对新的人际环境的适应上。人际交往能力差的幼儿胆小，不能主动地与同伴交往，或与同伴不能友好相处，遇到问题也不敢去找老师反映或寻求帮助等，结果没有新朋友，他们感到孤独，心情沮丧，学习的兴趣大大降低，学校的吸引力也随之消失。同时，这一能力与主动性的发展也是密切相关的。因此，在幼儿园里必须发展幼儿的人际交往能力。</w:t>
            </w:r>
          </w:p>
          <w:p w14:paraId="64F8F21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 岁的小刚想和红红等一起搭积木。他先在边上观看了几分钟，然后试探性地坐到红红身边，开始玩起小动物来。谁知红红转过身来对他说：“你不可以玩。”“我可以。”小刚抱紧了小动物，“我可以玩。”“你不可以。”红红毫不客气地拒绝，“我们不喜欢你，不想和你一起玩！”小平想帮小刚说话，可是，小令插话进来：“我们讨厌你，就不和你玩！”……</w:t>
            </w:r>
          </w:p>
          <w:p w14:paraId="1F00BB4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5 岁的小明也想加入一群大孩子玩的游戏“扔炸弹”。在加入游戏之前，小明先花时间不声不响地一旁观察，注意具体活动的规则，然后模仿旁边孩子的动作，并和靠近自己的小华交谈。小明问小华：“你乘直升机还是战斗机？”小华并没有简单回答，而是反问小明：“你坐过直升机吗？”“没有，但我有一个直升机的模型，是我舅舅从美国给我带回来的。”“真的？能让我看看吗？”……</w:t>
            </w:r>
          </w:p>
          <w:p w14:paraId="1C8E281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从上述材料可以看出，小刚想加入同伴群体，采取了事先不征求意见，直接进入的方法，结果遭到群体的反对。而小明则在主动交谈中获得了大家的认可，他也能够遵循自己观察到的游戏规则，表现出熟练的配合动作，这样小明很快就进入整个游戏活动，也没有给游戏带来任何干扰和不愉快。</w:t>
            </w:r>
          </w:p>
          <w:p w14:paraId="6BB1A30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 培养幼儿的规则意识和任务意识</w:t>
            </w:r>
          </w:p>
          <w:p w14:paraId="74249CD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小学环境中有大量的新规则出现（如进老师办公室要报告、上课前书要摆在书桌右上角、上课不能喝水、手要放好不能搞小动作，等等），幼儿难以记住和遵守，这成为不少新生在学校受批评的主要原因。同时，入学后学习成为必须完成的任务，幼儿却一时难以确立这样的任务意识。有的新生在老师询问作业时，还很轻松地说，“我不喜欢做”“昨天，爸爸带我去姥姥家了，所以我没写”。针对这些问题，除小学的改革之外，幼儿园应当注意培养幼儿的规则和任务意识，特别是在大班阶段。</w:t>
            </w:r>
          </w:p>
          <w:p w14:paraId="52CFD38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（三）帮助幼儿做好入学前的学习准备</w:t>
            </w:r>
          </w:p>
          <w:p w14:paraId="14D33A6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学习准备是着眼于幼儿终身学习的需要，发展他们基本的学习素质，并在此过程中，帮助他们打下今后学习的基础。幼儿园大致需要做好以下三方面的工作：</w:t>
            </w:r>
          </w:p>
          <w:p w14:paraId="13CDF22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培养良好的学习习惯</w:t>
            </w:r>
          </w:p>
          <w:p w14:paraId="6FC6718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从小养成好的学习习惯，将使幼儿终身受益。如爱看图书的习惯，做事认真的习惯，注意力集中地听老师讲话的习惯，保持文具、书本整洁的习惯等。许多人认为这些是小事，“树大自然直”。这种观点是不对的。习惯不好，以后很难纠正，对学习的危害是很大的。教师和家长应当在日常生活的每件事情上严格、一致、一贯地要求，使之养成习惯。</w:t>
            </w:r>
          </w:p>
          <w:p w14:paraId="6F5BA95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培养良好的非智力品质</w:t>
            </w:r>
          </w:p>
          <w:p w14:paraId="6B0B137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所谓非智力品质，主要指影响智力活动的各种个性品质，主要包括学习兴趣、学习积极性、意志、自信心等。学习不仅仅是有聪明的脑袋就行，离开良好的非智力品质，幼儿智力的发展就会受到影响。因此，应当重视培养幼儿的好奇心、对外部世界的兴趣和探索的积极性，培养他们做事坚持到底、不怕困难的意志品质，让幼儿从被动的“要我学”变成主动的“我要学”，培养幼儿渴望学习的品质。只有这样，幼儿才能形成自信、主动的学习态度，才能感觉到学习是一件愉快的事情。</w:t>
            </w:r>
          </w:p>
          <w:p w14:paraId="62B2AB8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培养幼儿经常保持愉快、饱满的情绪，活泼开朗，能与人商量着来解决纠纷，乐意合作、轮流分享玩具，经常友爱互助。在游戏和劳动中，态度积极、认真、有独立性；能按照成人的指示，付出一定努力，完成一定的任务；遇到挫折、困难，也能坚持，克服困难去完成所承担的任务；有一定的责任感，懂得做任何事情都要努力做好，有始有终；具有初步的自我控制能力，能说出为什么要这样做的理由，并适当抑制自己不合理的冲动，服从集体和成人的要求，遵守纪律。从小班开始，坚持养成良好的卫生习惯和文明礼貌行为，到大班能关心集体，遵守公共秩序，有一定的是非观念和评价同伴行为的能力。</w:t>
            </w:r>
          </w:p>
          <w:p w14:paraId="0234ABC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丰富感知经验，发展基本能力</w:t>
            </w:r>
          </w:p>
          <w:p w14:paraId="76825E3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要真正为幼儿做好入学准备，提高幼儿的适应能力，就要从小班开始，循序渐进地丰富幼儿的感知经验，培养幼儿的动手能力、思考能力和解决问题的能力。因为在小学学习的许多知识都是比较抽象的书本知识，幼儿如果缺乏相应的感知经验，理解就会有困难，比如，幼儿可以说出 3 个苹果加 2 个苹果等于 5 个苹果，但是对于“3+2= ？”却感到有困难，这说明幼儿的思维是和他们的具体生活经验联系在一起的，幼儿的感知经验越丰富，理解抽象知识的能力就越强。</w:t>
            </w:r>
          </w:p>
          <w:p w14:paraId="2FD8F77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有调查表明，一些幼儿园在幼儿数学学习准备上偏重知识传授，思维能力的准备明显不足。如幼儿在寻找排序的规律、看图编应用题等智力型题目上的得分，大大低于一般数学知识的题目。因此，教师应改变教育内容和教学方法，提供适当的环境和材料，激发幼儿的主动学习，使幼儿可以利用具体的实物和情景来进行学习，从而丰富他们的感知经验，发展动手能力、思维能力和分析、解决问题的能力。这样才能从根本上为幼儿在小学的学习做好准备，并能在今后保持发展的后劲。</w:t>
            </w:r>
          </w:p>
          <w:p w14:paraId="2D14B2E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三、幼小衔接工作应注意的问题</w:t>
            </w:r>
          </w:p>
          <w:p w14:paraId="623B71F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（一）幼小衔接工作应贯穿于整个幼儿期</w:t>
            </w:r>
          </w:p>
          <w:p w14:paraId="37EF69D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通过对家长和幼儿园教师的访谈获知，有很多人认为幼小衔接是幼儿园大班的事情。其实这是一个误区。准备幼儿入学的工作，应当是在整个学前期循序进行的。因此，为幼儿入学打好基础应作为幼儿园的一项基本任务。</w:t>
            </w:r>
          </w:p>
          <w:p w14:paraId="1C0E090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入小学所需要的生理、心理条件，都需要经过长期系统的培养，而且要早抓、抓好。如学习兴趣、求知欲望、智力活动的能力、独立生活的能力和良好的学习习惯，都必须从小班开始培养才行。就以握笔姿势为例，必须在小班幼儿开始拿笔画画时，注意养成正确姿势和使用方法，否则，到小学再纠正，就比较困难了。而那些良好行为习惯、自信心、独立性，从幼小时培养是容易形成的，只要教师注意督促指导就能收到事半功倍的效果。而促进儿童身体的生长发育，增强体质，更是整个学前期的主要任务。因此，幼儿园教师要根据幼儿在园学习生活三年的情况有计划地进行幼儿入学准备教育。</w:t>
            </w:r>
          </w:p>
          <w:p w14:paraId="40B51DA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（二）全面培养幼儿的素质</w:t>
            </w:r>
          </w:p>
          <w:p w14:paraId="2465177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园教育是人的终身教育的重要组成部分，是人的终身发展的奠基阶段。让儿童顺利地上小学只是其终身发展的一个环节。因此，应该把幼小衔接工作放到终身教育的大背景下去考虑。在我国，不管哪一级的学校的教育，都应以向儿童进行全面的素质教育为主要任务。事实上，身心全面和谐发展的幼儿，也能较快地适应小学学习和生活。</w:t>
            </w:r>
          </w:p>
          <w:p w14:paraId="14160A7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因此，培养幼儿入学适应性要以培养幼儿全面素质发展为主要任务，要避免重智育，轻体育、德育、美育等工作的倾向，更要避免把入学准备工作等同于教幼儿识字、学拼音、教计算的做法。在促进幼儿智力发展的同时对智育的其他因素，如学习的主动性、学习兴趣和习惯等非智力因素的培养也应加以重视。实际上，学习兴趣、主动性和良好学习习惯是一个人获得成功的必要条件，没有这些非智力因素的促进和保证作用，即使开始时取得很好的成绩，最终也难以持久。</w:t>
            </w:r>
          </w:p>
          <w:p w14:paraId="220BCA8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（三）纠正幼儿园教育中的小学化倾向</w:t>
            </w:r>
          </w:p>
          <w:p w14:paraId="4967C6B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如前所述，帮助幼儿做好入学前的准备，主要是提高幼儿的入学适应性，而不是提前教给幼儿小学的知识。有的幼儿园提前把小学一年级要学习的内容在幼儿园就教给幼儿，以为这样做幼儿上学后就不会有什么困难了。事实证明，小学的教育内容有很多不是幼儿所熟悉的具体的人和事，有许多抽象的书面知识。由于教学内容与幼儿在幼儿园所学内容差距较大，幼儿难以理解，因此在学习中只能较多地采用机械记忆和死记硬背的方法，体会不到学习的乐趣，反而使幼儿产生学习是枯燥无味的“苦差事”的错误想法，使他们对学习丧失兴趣，从而影响到他们今后的发展。而且，还有研究表明，在幼儿园学过一年级课本的儿童，入小学之初在学习上似乎比别人好一些。但由于老师讲的内容孩子在幼儿园全学过了，这些知识对他来说就没有什么新鲜感了，他们就会觉得上课没意思，做小动作、随便说话等行为就会多起来，久而久之就会形成上课不注意听讲的坏习惯（给孩子的错觉是不听讲一样能考好成绩，因为学习的内容我都会）。等到功课稍微难一些，他的“老本”也吃得差不多的时候，由于孩子已经养成了上课不听讲的习惯，学习上后劲不足的弱点很快暴露出来，这时再想纠正其不良习惯就很困难了。</w:t>
            </w:r>
          </w:p>
          <w:p w14:paraId="2293951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（四）协调幼儿园、小学、家庭和社会的关系，共同做好幼小衔接工作</w:t>
            </w:r>
          </w:p>
          <w:p w14:paraId="0C1D017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纲要》中明确指出：“幼儿园应与家庭、社区密切合作，与小学相互衔接，综合利用各种教育资源，共同为幼儿的发展创造良好的条件。”因此，在做幼小衔接工作的时候，幼儿园应充分发掘家庭和社区教育资源的作用，视家庭为“幼儿园重要的合作伙伴”“应本着尊重、平等、合作的原则，争取家长的理解、支持和主动参与，并积极支持、帮助家长提高教育能力”，同时建立幼儿园与小学之间的联系，共同搞好衔接工作。</w:t>
            </w:r>
          </w:p>
          <w:p w14:paraId="5D686F2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bCs/>
                <w:color w:val="538135"/>
                <w:kern w:val="2"/>
                <w:sz w:val="21"/>
                <w:szCs w:val="21"/>
                <w:lang w:val="en-US" w:eastAsia="zh-CN" w:bidi="ar"/>
              </w:rPr>
            </w:pPr>
            <w:r>
              <w:rPr>
                <w:rFonts w:hint="default" w:ascii="宋体" w:hAnsi="宋体" w:eastAsia="宋体" w:cs="宋体"/>
                <w:b w:val="0"/>
                <w:bCs/>
                <w:color w:val="000000"/>
                <w:kern w:val="2"/>
                <w:sz w:val="21"/>
                <w:szCs w:val="21"/>
                <w:lang w:val="en-US" w:eastAsia="zh-CN" w:bidi="ar"/>
              </w:rPr>
              <w:t>加强与小学的联系，应着重解决以下三个问题：一是了解小学教改情况，熟悉小学教学计划的基本精神和各科课程标准和教材的基本内容。二是开展与小学搞好衔接的研究工作，帮助小学教师了解幼儿身心发展水平和幼儿园的教育工作特点。三是了解以往幼儿入学后的表现，共同探索改进幼儿园工作的重点和措施。</w:t>
            </w:r>
          </w:p>
          <w:p w14:paraId="6882AFDA">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1B0F41B8">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幼儿园方面的幼小衔接工作（二）的基本理论知</w:t>
            </w:r>
            <w:r>
              <w:rPr>
                <w:rFonts w:hint="eastAsia" w:ascii="Times New Roman" w:hAnsi="Times New Roman"/>
                <w:b/>
                <w:szCs w:val="24"/>
              </w:rPr>
              <w:t>识。</w:t>
            </w:r>
          </w:p>
        </w:tc>
      </w:tr>
      <w:tr w14:paraId="3B24FEB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8EC9282">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b/>
                <w:bCs w:val="0"/>
                <w:kern w:val="2"/>
                <w:sz w:val="24"/>
                <w:szCs w:val="24"/>
              </w:rPr>
            </w:pPr>
            <w:r>
              <w:rPr>
                <w:rFonts w:hint="eastAsia" w:ascii="宋体" w:hAnsi="宋体" w:eastAsia="宋体" w:cs="宋体"/>
                <w:b/>
                <w:bCs w:val="0"/>
                <w:kern w:val="2"/>
                <w:sz w:val="24"/>
                <w:szCs w:val="24"/>
                <w:lang w:val="en-US" w:eastAsia="zh-CN" w:bidi="ar"/>
              </w:rPr>
              <w:t>课堂小结</w:t>
            </w:r>
          </w:p>
          <w:p w14:paraId="619139C5">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kern w:val="2"/>
                <w:sz w:val="24"/>
                <w:szCs w:val="24"/>
                <w:lang w:val="en-US" w:eastAsia="zh-CN" w:bidi="ar-SA"/>
              </w:rPr>
            </w:pPr>
            <w:r>
              <w:rPr>
                <w:rFonts w:hint="eastAsia" w:ascii="宋体" w:hAnsi="宋体" w:eastAsia="宋体" w:cs="宋体"/>
                <w:b/>
                <w:bCs w:val="0"/>
                <w:kern w:val="2"/>
                <w:sz w:val="24"/>
                <w:szCs w:val="24"/>
                <w:lang w:val="en-US" w:eastAsia="zh-CN" w:bidi="ar"/>
              </w:rPr>
              <w:t>（3min）</w:t>
            </w:r>
          </w:p>
        </w:tc>
        <w:tc>
          <w:tcPr>
            <w:tcW w:w="5807" w:type="dxa"/>
            <w:tcBorders>
              <w:tl2br w:val="nil"/>
              <w:tr2bl w:val="nil"/>
            </w:tcBorders>
            <w:vAlign w:val="center"/>
          </w:tcPr>
          <w:p w14:paraId="319A469B">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25707CB6">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幼儿园方面的幼小衔接工作</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二</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，让学生知道在做幼小衔接工作的时候，幼儿园应充分发掘家庭和社区教育资源的作用</w:t>
            </w:r>
            <w:r>
              <w:rPr>
                <w:rFonts w:hint="eastAsia" w:ascii="宋体" w:hAnsi="宋体" w:eastAsia="宋体" w:cs="宋体"/>
                <w:b/>
                <w:bCs w:val="0"/>
                <w:kern w:val="2"/>
                <w:sz w:val="21"/>
                <w:szCs w:val="21"/>
                <w:lang w:val="en-US" w:eastAsia="zh-CN" w:bidi="ar"/>
              </w:rPr>
              <w:t>。</w:t>
            </w:r>
          </w:p>
        </w:tc>
        <w:tc>
          <w:tcPr>
            <w:tcW w:w="1366" w:type="dxa"/>
            <w:tcBorders>
              <w:tl2br w:val="nil"/>
              <w:tr2bl w:val="nil"/>
            </w:tcBorders>
            <w:vAlign w:val="center"/>
          </w:tcPr>
          <w:p w14:paraId="3ED969CA">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40CA658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0B890F6">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宋体" w:hAnsi="宋体" w:eastAsia="宋体" w:cs="宋体"/>
                <w:b/>
                <w:bCs w:val="0"/>
                <w:kern w:val="2"/>
                <w:sz w:val="24"/>
                <w:szCs w:val="24"/>
                <w:lang w:val="en-US" w:eastAsia="zh-CN" w:bidi="ar-SA"/>
              </w:rPr>
            </w:pPr>
            <w:r>
              <w:rPr>
                <w:rFonts w:hint="eastAsia" w:ascii="宋体" w:hAnsi="宋体" w:eastAsia="宋体" w:cs="宋体"/>
                <w:b/>
                <w:bCs w:val="0"/>
                <w:kern w:val="2"/>
                <w:sz w:val="24"/>
                <w:szCs w:val="24"/>
                <w:lang w:val="en-US" w:eastAsia="zh-CN" w:bidi="ar"/>
              </w:rPr>
              <w:t>作业布置（2min）</w:t>
            </w:r>
          </w:p>
        </w:tc>
        <w:tc>
          <w:tcPr>
            <w:tcW w:w="5807" w:type="dxa"/>
            <w:tcBorders>
              <w:tl2br w:val="nil"/>
              <w:tr2bl w:val="nil"/>
            </w:tcBorders>
            <w:vAlign w:val="center"/>
          </w:tcPr>
          <w:p w14:paraId="331B715D">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7272CAC3">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简述纠正幼儿园教育中的小学化倾向。</w:t>
            </w:r>
          </w:p>
        </w:tc>
        <w:tc>
          <w:tcPr>
            <w:tcW w:w="1366" w:type="dxa"/>
            <w:tcBorders>
              <w:tl2br w:val="nil"/>
              <w:tr2bl w:val="nil"/>
            </w:tcBorders>
            <w:vAlign w:val="center"/>
          </w:tcPr>
          <w:p w14:paraId="202AA3C4">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483D40D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C321405">
            <w:pPr>
              <w:keepNext w:val="0"/>
              <w:keepLines w:val="0"/>
              <w:suppressLineNumbers w:val="0"/>
              <w:spacing w:before="0" w:beforeAutospacing="0" w:after="0" w:afterAutospacing="0" w:line="360" w:lineRule="auto"/>
              <w:ind w:left="0" w:right="0"/>
              <w:jc w:val="center"/>
              <w:rPr>
                <w:rFonts w:hint="eastAsia" w:ascii="宋体" w:hAnsi="宋体" w:eastAsia="宋体" w:cs="宋体"/>
                <w:b/>
                <w:bCs w:val="0"/>
                <w:sz w:val="24"/>
                <w:szCs w:val="24"/>
              </w:rPr>
            </w:pPr>
            <w:r>
              <w:rPr>
                <w:rFonts w:hint="eastAsia" w:ascii="宋体" w:hAnsi="宋体" w:eastAsia="宋体" w:cs="宋体"/>
                <w:b/>
                <w:bCs w:val="0"/>
                <w:sz w:val="24"/>
                <w:szCs w:val="24"/>
              </w:rPr>
              <w:t>教学反思</w:t>
            </w:r>
          </w:p>
        </w:tc>
        <w:tc>
          <w:tcPr>
            <w:tcW w:w="7173" w:type="dxa"/>
            <w:gridSpan w:val="2"/>
            <w:tcBorders>
              <w:tl2br w:val="nil"/>
              <w:tr2bl w:val="nil"/>
            </w:tcBorders>
            <w:vAlign w:val="center"/>
          </w:tcPr>
          <w:p w14:paraId="3479BED5">
            <w:pPr>
              <w:keepNext w:val="0"/>
              <w:keepLines w:val="0"/>
              <w:suppressLineNumbers w:val="0"/>
              <w:spacing w:before="0" w:beforeAutospacing="0" w:after="0" w:afterAutospacing="0" w:line="360" w:lineRule="auto"/>
              <w:ind w:left="0" w:right="0"/>
              <w:rPr>
                <w:rFonts w:hint="default" w:ascii="Times New Roman" w:hAnsi="Times New Roman"/>
              </w:rPr>
            </w:pPr>
            <w:r>
              <w:rPr>
                <w:rFonts w:hint="default" w:ascii="Times New Roman" w:hAnsi="Times New Roman"/>
              </w:rPr>
              <w:t>以学生的“学”为出发点，将“自主探究、合作交流”的学习方式贯穿于课的始终，并将评价与教师的教和学生的学有机的融为一体。</w:t>
            </w:r>
          </w:p>
        </w:tc>
      </w:tr>
      <w:bookmarkEnd w:id="0"/>
    </w:tbl>
    <w:p w14:paraId="23896A44"/>
    <w:sectPr>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 w:name="华文行楷">
    <w:panose1 w:val="02010800040101010101"/>
    <w:charset w:val="86"/>
    <w:family w:val="auto"/>
    <w:pitch w:val="default"/>
    <w:sig w:usb0="00000001" w:usb1="080F0000" w:usb2="00000000" w:usb3="00000000" w:csb0="00040000" w:csb1="00000000"/>
  </w:font>
  <w:font w:name="方正书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7C402">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33E3F">
    <w:pPr>
      <w:pStyle w:val="7"/>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36123">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7CEDF">
    <w:pPr>
      <w:pStyle w:val="8"/>
      <w:pBdr>
        <w:bottom w:val="none" w:color="auto" w:sz="0" w:space="1"/>
      </w:pBdr>
      <w:rPr>
        <w:rFonts w:hint="eastAsia" w:eastAsia="宋体"/>
        <w:lang w:eastAsia="zh-CN"/>
      </w:rPr>
    </w:pPr>
    <w:r>
      <w:rPr>
        <w:rFonts w:hint="eastAsia" w:eastAsia="宋体"/>
        <w:lang w:eastAsia="zh-CN"/>
      </w:rPr>
      <w:drawing>
        <wp:anchor distT="0" distB="0" distL="114300" distR="114300" simplePos="0" relativeHeight="251661312"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2.jpg学前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2.jpg学前背景2"/>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54283">
    <w:pPr>
      <w:pStyle w:val="8"/>
      <w:pBdr>
        <w:bottom w:val="none" w:color="auto" w:sz="0" w:space="1"/>
      </w:pBdr>
    </w:pPr>
    <w:r>
      <w:rPr>
        <w:sz w:val="18"/>
      </w:rPr>
      <mc:AlternateContent>
        <mc:Choice Requires="wpg">
          <w:drawing>
            <wp:anchor distT="0" distB="0" distL="114300" distR="114300" simplePos="0" relativeHeight="251660288"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EEDF7F">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6192;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HOJiy3i&#10;AwAASwsAAA4AAAAAAAAAAQAgAAAAKQEAAGRycy9lMm9Eb2MueG1sUEsFBgAAAAAGAAYAWQEAAH0H&#10;AAAAAA==&#10;">
              <o:lock v:ext="edit" aspectratio="f"/>
              <v:rect id="_x0000_s1026" o:spid="_x0000_s1026" o:spt="1" style="position:absolute;left:10793;top:17404;height:16838;width:11906;v-text-anchor:middle;" fillcolor="#EEDF7F" filled="t" stroked="f" coordsize="21600,21600" o:gfxdata="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1IWV7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D11A5">
    <w:pPr>
      <w:pStyle w:val="8"/>
      <w:pBdr>
        <w:bottom w:val="none" w:color="auto" w:sz="0" w:space="1"/>
      </w:pBdr>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wMGUyNTQxOTQ3OTdiZjM1YmRlMzhhNWY0ODRlNWM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13C246A"/>
    <w:rsid w:val="027B08F2"/>
    <w:rsid w:val="02BF16DF"/>
    <w:rsid w:val="03F91E91"/>
    <w:rsid w:val="043851F9"/>
    <w:rsid w:val="09AA6B0A"/>
    <w:rsid w:val="0AC91BFE"/>
    <w:rsid w:val="0AE230E9"/>
    <w:rsid w:val="0D2F326C"/>
    <w:rsid w:val="0EFB3964"/>
    <w:rsid w:val="10E62DCA"/>
    <w:rsid w:val="138E17D4"/>
    <w:rsid w:val="16527C12"/>
    <w:rsid w:val="18934C0E"/>
    <w:rsid w:val="1A0F6516"/>
    <w:rsid w:val="1A861C2D"/>
    <w:rsid w:val="1AF66FE0"/>
    <w:rsid w:val="1B273E7A"/>
    <w:rsid w:val="1D245D5D"/>
    <w:rsid w:val="1E8F2A30"/>
    <w:rsid w:val="1FB84519"/>
    <w:rsid w:val="218A5BED"/>
    <w:rsid w:val="22A46395"/>
    <w:rsid w:val="23151418"/>
    <w:rsid w:val="24B477DD"/>
    <w:rsid w:val="28B578A7"/>
    <w:rsid w:val="31260631"/>
    <w:rsid w:val="31813D45"/>
    <w:rsid w:val="322A12C5"/>
    <w:rsid w:val="333E3614"/>
    <w:rsid w:val="34AD60CD"/>
    <w:rsid w:val="35AF77A0"/>
    <w:rsid w:val="368D542E"/>
    <w:rsid w:val="388B134B"/>
    <w:rsid w:val="3EB371A6"/>
    <w:rsid w:val="3FB457A2"/>
    <w:rsid w:val="40EC510F"/>
    <w:rsid w:val="436C72A2"/>
    <w:rsid w:val="43CD7F64"/>
    <w:rsid w:val="44B33A23"/>
    <w:rsid w:val="45C91BBA"/>
    <w:rsid w:val="46E44703"/>
    <w:rsid w:val="49276B29"/>
    <w:rsid w:val="4BD755A8"/>
    <w:rsid w:val="4BF7788F"/>
    <w:rsid w:val="4C7F0E23"/>
    <w:rsid w:val="52EA4E4F"/>
    <w:rsid w:val="5A7C6694"/>
    <w:rsid w:val="5C2D08FD"/>
    <w:rsid w:val="5D5E4DB7"/>
    <w:rsid w:val="5E0A2849"/>
    <w:rsid w:val="69CD0D21"/>
    <w:rsid w:val="6CD31019"/>
    <w:rsid w:val="6E8C1058"/>
    <w:rsid w:val="6F846384"/>
    <w:rsid w:val="72111FA0"/>
    <w:rsid w:val="724D0D96"/>
    <w:rsid w:val="7C0B4C04"/>
    <w:rsid w:val="7CF17FFD"/>
    <w:rsid w:val="7E1F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qFormat/>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qFormat/>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qFormat/>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3412</Words>
  <Characters>3549</Characters>
  <Lines>1</Lines>
  <Paragraphs>1</Paragraphs>
  <TotalTime>2</TotalTime>
  <ScaleCrop>false</ScaleCrop>
  <LinksUpToDate>false</LinksUpToDate>
  <CharactersWithSpaces>3553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六月</cp:lastModifiedBy>
  <dcterms:modified xsi:type="dcterms:W3CDTF">2025-07-17T05:41:54Z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82342C4727CB4481B584C5727EF11D7A_13</vt:lpwstr>
  </property>
  <property fmtid="{D5CDD505-2E9C-101B-9397-08002B2CF9AE}" pid="4" name="KSOTemplateDocerSaveRecord">
    <vt:lpwstr>eyJoZGlkIjoiOTcxZjc4Y2ViNTBlZDVmZTI3YTAxZGE1NWVmM2E2NDEiLCJ1c2VySWQiOiI0MDMzMDA2MzYifQ==</vt:lpwstr>
  </property>
</Properties>
</file>